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10" w:rsidRPr="006E1B10" w:rsidRDefault="006E1B10" w:rsidP="006E1B10">
      <w:pPr>
        <w:pStyle w:val="Default"/>
        <w:jc w:val="center"/>
        <w:rPr>
          <w:b/>
          <w:color w:val="0000FF"/>
          <w:sz w:val="32"/>
          <w:szCs w:val="32"/>
        </w:rPr>
      </w:pPr>
      <w:r w:rsidRPr="006E1B10">
        <w:rPr>
          <w:rFonts w:hint="eastAsia"/>
          <w:b/>
          <w:color w:val="0000FF"/>
          <w:sz w:val="32"/>
          <w:szCs w:val="32"/>
        </w:rPr>
        <w:t>第</w:t>
      </w:r>
      <w:r w:rsidRPr="006E1B10">
        <w:rPr>
          <w:rFonts w:hint="eastAsia"/>
          <w:b/>
          <w:color w:val="0000FF"/>
          <w:sz w:val="32"/>
          <w:szCs w:val="32"/>
        </w:rPr>
        <w:t>15</w:t>
      </w:r>
      <w:r w:rsidRPr="006E1B10">
        <w:rPr>
          <w:rFonts w:hint="eastAsia"/>
          <w:b/>
          <w:color w:val="0000FF"/>
          <w:sz w:val="32"/>
          <w:szCs w:val="32"/>
        </w:rPr>
        <w:t>次年改會發言資料</w:t>
      </w:r>
    </w:p>
    <w:p w:rsidR="006E1B10" w:rsidRDefault="006E1B10" w:rsidP="006E1B10">
      <w:pPr>
        <w:pStyle w:val="Default"/>
        <w:rPr>
          <w:rFonts w:ascii="DFKai-SB" w:hAnsi="DFKai-SB" w:cs="DFKai-SB"/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rFonts w:ascii="DFKai-SB" w:hAnsi="DFKai-SB" w:cs="DFKai-SB"/>
          <w:sz w:val="32"/>
          <w:szCs w:val="32"/>
        </w:rPr>
        <w:t>有關參考資料第</w:t>
      </w:r>
      <w:r>
        <w:rPr>
          <w:sz w:val="32"/>
          <w:szCs w:val="32"/>
        </w:rPr>
        <w:t>6</w:t>
      </w:r>
      <w:r>
        <w:rPr>
          <w:rFonts w:ascii="DFKai-SB" w:hAnsi="DFKai-SB" w:cs="DFKai-SB"/>
          <w:sz w:val="32"/>
          <w:szCs w:val="32"/>
        </w:rPr>
        <w:t>頁設算條件，軍職人員核定退除年資</w:t>
      </w:r>
      <w:r>
        <w:rPr>
          <w:sz w:val="32"/>
          <w:szCs w:val="32"/>
        </w:rPr>
        <w:t>20</w:t>
      </w:r>
      <w:r>
        <w:rPr>
          <w:rFonts w:ascii="DFKai-SB" w:hAnsi="DFKai-SB" w:cs="DFKai-SB"/>
          <w:sz w:val="32"/>
          <w:szCs w:val="32"/>
        </w:rPr>
        <w:t>年上限</w:t>
      </w:r>
      <w:r>
        <w:rPr>
          <w:sz w:val="32"/>
          <w:szCs w:val="32"/>
        </w:rPr>
        <w:t>85%</w:t>
      </w:r>
      <w:r>
        <w:rPr>
          <w:rFonts w:ascii="DFKai-SB" w:hAnsi="DFKai-SB" w:cs="DFKai-SB"/>
          <w:sz w:val="32"/>
          <w:szCs w:val="32"/>
        </w:rPr>
        <w:t>，之後每增加</w:t>
      </w:r>
      <w:r>
        <w:rPr>
          <w:sz w:val="32"/>
          <w:szCs w:val="32"/>
        </w:rPr>
        <w:t>1</w:t>
      </w:r>
      <w:r>
        <w:rPr>
          <w:rFonts w:ascii="DFKai-SB" w:hAnsi="DFKai-SB" w:cs="DFKai-SB"/>
          <w:sz w:val="32"/>
          <w:szCs w:val="32"/>
        </w:rPr>
        <w:t>年增加</w:t>
      </w:r>
      <w:r>
        <w:rPr>
          <w:sz w:val="32"/>
          <w:szCs w:val="32"/>
        </w:rPr>
        <w:t>1%</w:t>
      </w:r>
      <w:r>
        <w:rPr>
          <w:rFonts w:ascii="DFKai-SB" w:hAnsi="DFKai-SB" w:cs="DFKai-SB"/>
          <w:sz w:val="32"/>
          <w:szCs w:val="32"/>
        </w:rPr>
        <w:t>，最高</w:t>
      </w:r>
      <w:r>
        <w:rPr>
          <w:sz w:val="32"/>
          <w:szCs w:val="32"/>
        </w:rPr>
        <w:t>35</w:t>
      </w:r>
      <w:r>
        <w:rPr>
          <w:rFonts w:ascii="DFKai-SB" w:hAnsi="DFKai-SB" w:cs="DFKai-SB"/>
          <w:sz w:val="32"/>
          <w:szCs w:val="32"/>
        </w:rPr>
        <w:t>年</w:t>
      </w:r>
      <w:proofErr w:type="gramStart"/>
      <w:r>
        <w:rPr>
          <w:rFonts w:ascii="DFKai-SB" w:hAnsi="DFKai-SB" w:cs="DFKai-SB"/>
          <w:sz w:val="32"/>
          <w:szCs w:val="32"/>
        </w:rPr>
        <w:t>最</w:t>
      </w:r>
      <w:proofErr w:type="gramEnd"/>
      <w:r>
        <w:rPr>
          <w:rFonts w:ascii="DFKai-SB" w:hAnsi="DFKai-SB" w:cs="DFKai-SB"/>
          <w:sz w:val="32"/>
          <w:szCs w:val="32"/>
        </w:rPr>
        <w:t>上限</w:t>
      </w:r>
      <w:r>
        <w:rPr>
          <w:sz w:val="32"/>
          <w:szCs w:val="32"/>
        </w:rPr>
        <w:t>95%</w:t>
      </w:r>
      <w:r>
        <w:rPr>
          <w:rFonts w:ascii="DFKai-SB" w:hAnsi="DFKai-SB" w:cs="DFKai-SB"/>
          <w:sz w:val="32"/>
          <w:szCs w:val="32"/>
        </w:rPr>
        <w:t>，請確認資料是否有誤</w:t>
      </w:r>
      <w:r>
        <w:rPr>
          <w:sz w:val="32"/>
          <w:szCs w:val="32"/>
        </w:rPr>
        <w:t>?</w:t>
      </w:r>
      <w:r>
        <w:rPr>
          <w:rFonts w:ascii="DFKai-SB" w:hAnsi="DFKai-SB" w:cs="DFKai-SB"/>
          <w:sz w:val="32"/>
          <w:szCs w:val="32"/>
        </w:rPr>
        <w:t>中將核定退除年資</w:t>
      </w:r>
      <w:r>
        <w:rPr>
          <w:sz w:val="32"/>
          <w:szCs w:val="32"/>
        </w:rPr>
        <w:t>25</w:t>
      </w:r>
      <w:r>
        <w:rPr>
          <w:rFonts w:ascii="DFKai-SB" w:hAnsi="DFKai-SB" w:cs="DFKai-SB"/>
          <w:sz w:val="32"/>
          <w:szCs w:val="32"/>
        </w:rPr>
        <w:t>年之退休</w:t>
      </w:r>
      <w:proofErr w:type="gramStart"/>
      <w:r>
        <w:rPr>
          <w:rFonts w:ascii="DFKai-SB" w:hAnsi="DFKai-SB" w:cs="DFKai-SB"/>
          <w:sz w:val="32"/>
          <w:szCs w:val="32"/>
        </w:rPr>
        <w:t>俸</w:t>
      </w:r>
      <w:proofErr w:type="gramEnd"/>
      <w:r>
        <w:rPr>
          <w:rFonts w:ascii="DFKai-SB" w:hAnsi="DFKai-SB" w:cs="DFKai-SB"/>
          <w:sz w:val="32"/>
          <w:szCs w:val="32"/>
        </w:rPr>
        <w:t>上限為</w:t>
      </w:r>
      <w:r>
        <w:rPr>
          <w:sz w:val="32"/>
          <w:szCs w:val="32"/>
        </w:rPr>
        <w:t>75%</w:t>
      </w:r>
      <w:r>
        <w:rPr>
          <w:rFonts w:ascii="DFKai-SB" w:hAnsi="DFKai-SB" w:cs="DFKai-SB"/>
          <w:sz w:val="32"/>
          <w:szCs w:val="32"/>
        </w:rPr>
        <w:t>，</w:t>
      </w:r>
      <w:proofErr w:type="gramStart"/>
      <w:r>
        <w:rPr>
          <w:rFonts w:ascii="DFKai-SB" w:hAnsi="DFKai-SB" w:cs="DFKai-SB"/>
          <w:sz w:val="32"/>
          <w:szCs w:val="32"/>
        </w:rPr>
        <w:t>但依任官</w:t>
      </w:r>
      <w:proofErr w:type="gramEnd"/>
      <w:r>
        <w:rPr>
          <w:rFonts w:ascii="DFKai-SB" w:hAnsi="DFKai-SB" w:cs="DFKai-SB"/>
          <w:sz w:val="32"/>
          <w:szCs w:val="32"/>
        </w:rPr>
        <w:t>條例升到中將基本年資將近</w:t>
      </w:r>
      <w:r>
        <w:rPr>
          <w:sz w:val="32"/>
          <w:szCs w:val="32"/>
        </w:rPr>
        <w:t>30</w:t>
      </w:r>
      <w:r>
        <w:rPr>
          <w:rFonts w:ascii="DFKai-SB" w:hAnsi="DFKai-SB" w:cs="DFKai-SB"/>
          <w:sz w:val="32"/>
          <w:szCs w:val="32"/>
        </w:rPr>
        <w:t>年，怎會有核定中將退除年資</w:t>
      </w:r>
      <w:r>
        <w:rPr>
          <w:sz w:val="32"/>
          <w:szCs w:val="32"/>
        </w:rPr>
        <w:t>25</w:t>
      </w:r>
      <w:r>
        <w:rPr>
          <w:rFonts w:ascii="DFKai-SB" w:hAnsi="DFKai-SB" w:cs="DFKai-SB"/>
          <w:sz w:val="32"/>
          <w:szCs w:val="32"/>
        </w:rPr>
        <w:t>年，應依實際情形修正資料，避免誤導視聽。</w:t>
      </w:r>
    </w:p>
    <w:p w:rsidR="006E1B10" w:rsidRDefault="006E1B10" w:rsidP="006E1B10">
      <w:pPr>
        <w:pStyle w:val="Default"/>
        <w:rPr>
          <w:rFonts w:ascii="DFKai-SB" w:hAnsi="DFKai-SB" w:cs="DFKai-SB"/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rFonts w:ascii="DFKai-SB" w:hAnsi="DFKai-SB" w:cs="DFKai-SB"/>
          <w:sz w:val="32"/>
          <w:szCs w:val="32"/>
        </w:rPr>
        <w:t>參考資料中有關國際比較多是橫向比較，建議提供縱向比較</w:t>
      </w:r>
      <w:r>
        <w:rPr>
          <w:sz w:val="32"/>
          <w:szCs w:val="32"/>
        </w:rPr>
        <w:t>(</w:t>
      </w:r>
      <w:r>
        <w:rPr>
          <w:rFonts w:ascii="DFKai-SB" w:hAnsi="DFKai-SB" w:cs="DFKai-SB"/>
          <w:sz w:val="32"/>
          <w:szCs w:val="32"/>
        </w:rPr>
        <w:t>相近職業之年金制度內容</w:t>
      </w:r>
      <w:r>
        <w:rPr>
          <w:sz w:val="32"/>
          <w:szCs w:val="32"/>
        </w:rPr>
        <w:t>)</w:t>
      </w:r>
      <w:r>
        <w:rPr>
          <w:rFonts w:ascii="DFKai-SB" w:hAnsi="DFKai-SB" w:cs="DFKai-SB"/>
          <w:sz w:val="32"/>
          <w:szCs w:val="32"/>
        </w:rPr>
        <w:t>。</w:t>
      </w:r>
    </w:p>
    <w:tbl>
      <w:tblPr>
        <w:tblW w:w="912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561"/>
        <w:gridCol w:w="4562"/>
      </w:tblGrid>
      <w:tr w:rsidR="006E1B10" w:rsidRPr="006E1B10" w:rsidTr="006E1B1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3" w:type="dxa"/>
            <w:gridSpan w:val="2"/>
          </w:tcPr>
          <w:p w:rsidR="006E1B10" w:rsidRPr="006E1B10" w:rsidRDefault="006E1B10" w:rsidP="006E1B10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</w:pPr>
            <w:r>
              <w:rPr>
                <w:sz w:val="32"/>
                <w:szCs w:val="32"/>
                <w:lang w:eastAsia="zh-TW"/>
              </w:rPr>
              <w:t xml:space="preserve">3. </w:t>
            </w:r>
            <w:r>
              <w:rPr>
                <w:rFonts w:ascii="DFKai-SB" w:hAnsi="DFKai-SB" w:cs="DFKai-SB"/>
                <w:sz w:val="32"/>
                <w:szCs w:val="32"/>
                <w:lang w:eastAsia="zh-TW"/>
              </w:rPr>
              <w:t>第</w:t>
            </w:r>
            <w:r>
              <w:rPr>
                <w:sz w:val="32"/>
                <w:szCs w:val="32"/>
                <w:lang w:eastAsia="zh-TW"/>
              </w:rPr>
              <w:t>13</w:t>
            </w:r>
            <w:r>
              <w:rPr>
                <w:rFonts w:ascii="DFKai-SB" w:hAnsi="DFKai-SB" w:cs="DFKai-SB"/>
                <w:sz w:val="32"/>
                <w:szCs w:val="32"/>
                <w:lang w:eastAsia="zh-TW"/>
              </w:rPr>
              <w:t>次委員會議已確認，各業管法規部門修訂制度時，須邀請各職業之委員共同參與討論以</w:t>
            </w:r>
            <w:proofErr w:type="gramStart"/>
            <w:r>
              <w:rPr>
                <w:rFonts w:ascii="DFKai-SB" w:hAnsi="DFKai-SB" w:cs="DFKai-SB"/>
                <w:sz w:val="32"/>
                <w:szCs w:val="32"/>
                <w:lang w:eastAsia="zh-TW"/>
              </w:rPr>
              <w:t>臻</w:t>
            </w:r>
            <w:proofErr w:type="gramEnd"/>
            <w:r>
              <w:rPr>
                <w:rFonts w:ascii="DFKai-SB" w:hAnsi="DFKai-SB" w:cs="DFKai-SB"/>
                <w:sz w:val="32"/>
                <w:szCs w:val="32"/>
                <w:lang w:eastAsia="zh-TW"/>
              </w:rPr>
              <w:t>完整，截至目前</w:t>
            </w:r>
            <w:r w:rsidRPr="006E1B10"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  <w:t>尚無相關期程訂定，建議應訂</w:t>
            </w:r>
            <w:proofErr w:type="gramStart"/>
            <w:r w:rsidRPr="006E1B10"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  <w:t>定期程讓各</w:t>
            </w:r>
            <w:proofErr w:type="gramEnd"/>
            <w:r w:rsidRPr="006E1B10"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  <w:t>委員能參與</w:t>
            </w:r>
            <w:proofErr w:type="gramStart"/>
            <w:r w:rsidRPr="006E1B10"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  <w:t>研</w:t>
            </w:r>
            <w:proofErr w:type="gramEnd"/>
            <w:r w:rsidRPr="006E1B10"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  <w:t>議。</w:t>
            </w:r>
          </w:p>
          <w:p w:rsidR="006E1B10" w:rsidRPr="006E1B10" w:rsidRDefault="006E1B10" w:rsidP="006E1B10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</w:pPr>
          </w:p>
        </w:tc>
      </w:tr>
      <w:tr w:rsidR="006E1B10" w:rsidRPr="006E1B10" w:rsidTr="006E1B10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4561" w:type="dxa"/>
          </w:tcPr>
          <w:p w:rsidR="006E1B10" w:rsidRPr="006E1B10" w:rsidRDefault="006E1B10" w:rsidP="006E1B10">
            <w:pPr>
              <w:autoSpaceDE w:val="0"/>
              <w:autoSpaceDN w:val="0"/>
              <w:adjustRightInd w:val="0"/>
              <w:rPr>
                <w:rFonts w:ascii="DFKai-SB" w:hAnsi="DFKai-SB" w:cs="DFKai-SB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4562" w:type="dxa"/>
          </w:tcPr>
          <w:p w:rsidR="006E1B10" w:rsidRPr="006E1B10" w:rsidRDefault="006E1B10" w:rsidP="006E1B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6E1B10" w:rsidRDefault="006E1B10" w:rsidP="006E1B10">
      <w:pPr>
        <w:pStyle w:val="Default"/>
        <w:rPr>
          <w:rFonts w:ascii="DFKai-SB" w:hAnsi="DFKai-SB" w:cs="DFKai-SB"/>
          <w:sz w:val="32"/>
          <w:szCs w:val="32"/>
        </w:rPr>
      </w:pPr>
    </w:p>
    <w:p w:rsidR="006C371A" w:rsidRDefault="006C371A">
      <w:pPr>
        <w:rPr>
          <w:lang w:eastAsia="zh-TW"/>
        </w:rPr>
      </w:pPr>
    </w:p>
    <w:sectPr w:rsidR="006C371A" w:rsidSect="006C37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_HKSCS">
    <w:altName w:val="細明體_HKSCS"/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DFKai-SB">
    <w:altName w:val="標楷體a.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B10"/>
    <w:rsid w:val="006C371A"/>
    <w:rsid w:val="006E1B10"/>
    <w:rsid w:val="0097631C"/>
    <w:rsid w:val="00A82B31"/>
    <w:rsid w:val="00D7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469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uiPriority w:val="1"/>
    <w:qFormat/>
    <w:rsid w:val="00D74693"/>
    <w:pPr>
      <w:ind w:left="119"/>
      <w:outlineLvl w:val="2"/>
    </w:pPr>
    <w:rPr>
      <w:rFonts w:ascii="細明體_HKSCS" w:eastAsia="細明體_HKSCS" w:hAnsi="細明體_HKSCS"/>
      <w:sz w:val="64"/>
      <w:szCs w:val="64"/>
    </w:rPr>
  </w:style>
  <w:style w:type="paragraph" w:customStyle="1" w:styleId="TableParagraph">
    <w:name w:val="Table Paragraph"/>
    <w:basedOn w:val="a"/>
    <w:uiPriority w:val="1"/>
    <w:qFormat/>
    <w:rsid w:val="00D74693"/>
  </w:style>
  <w:style w:type="paragraph" w:customStyle="1" w:styleId="Default">
    <w:name w:val="Default"/>
    <w:rsid w:val="006E1B1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</dc:creator>
  <cp:lastModifiedBy>Scorpio</cp:lastModifiedBy>
  <cp:revision>1</cp:revision>
  <dcterms:created xsi:type="dcterms:W3CDTF">2016-10-11T13:31:00Z</dcterms:created>
  <dcterms:modified xsi:type="dcterms:W3CDTF">2016-10-11T13:35:00Z</dcterms:modified>
</cp:coreProperties>
</file>