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6" w:rsidRPr="00172BC6" w:rsidRDefault="00172BC6" w:rsidP="00172BC6">
      <w:pPr>
        <w:pStyle w:val="a3"/>
        <w:rPr>
          <w:rFonts w:ascii="標楷體" w:eastAsia="標楷體" w:hAnsi="標楷體"/>
          <w:b/>
          <w:color w:val="FF0000"/>
          <w:sz w:val="44"/>
          <w:szCs w:val="44"/>
          <w:lang w:eastAsia="zh-TW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八百壯士公告105.8.8</w:t>
      </w:r>
      <w:r w:rsidR="004601A7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諮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詢年改會</w:t>
      </w:r>
      <w:r w:rsidR="005F4DA3"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回應</w:t>
      </w:r>
      <w:r>
        <w:rPr>
          <w:rFonts w:ascii="標楷體" w:eastAsia="標楷體" w:hAnsi="標楷體" w:hint="eastAsia"/>
          <w:b/>
          <w:color w:val="FF0000"/>
          <w:sz w:val="44"/>
          <w:szCs w:val="44"/>
          <w:lang w:eastAsia="zh-TW"/>
        </w:rPr>
        <w:t>「</w:t>
      </w:r>
      <w:hyperlink r:id="rId6" w:history="1">
        <w:r w:rsidRPr="00172BC6">
          <w:rPr>
            <w:rStyle w:val="a4"/>
            <w:rFonts w:ascii="標楷體" w:eastAsia="標楷體" w:hAnsi="標楷體" w:hint="eastAsia"/>
            <w:b/>
            <w:bCs/>
            <w:color w:val="FF0000"/>
            <w:sz w:val="44"/>
            <w:szCs w:val="44"/>
            <w:u w:val="none"/>
            <w:lang w:eastAsia="zh-TW"/>
          </w:rPr>
          <w:t>我國現行軍人退撫作法與美國比較</w:t>
        </w:r>
      </w:hyperlink>
      <w:r>
        <w:rPr>
          <w:rFonts w:ascii="標楷體" w:eastAsia="標楷體" w:hAnsi="標楷體"/>
          <w:b/>
          <w:color w:val="FF0000"/>
          <w:sz w:val="44"/>
          <w:szCs w:val="44"/>
          <w:lang w:eastAsia="zh-TW"/>
        </w:rPr>
        <w:t>」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sz w:val="27"/>
          <w:szCs w:val="27"/>
          <w:lang w:eastAsia="zh-TW"/>
        </w:rPr>
      </w:pPr>
    </w:p>
    <w:p w:rsidR="00172BC6" w:rsidRPr="00A81BCE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  <w:r w:rsidRPr="00A81BCE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針對106.7.11年改會新聞稿：「</w:t>
      </w:r>
      <w:r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副總統</w:t>
      </w:r>
      <w:r w:rsidRPr="00A81BCE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陳建仁</w:t>
      </w:r>
      <w:r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說</w:t>
      </w:r>
      <w:r w:rsidRPr="00A81BCE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：『</w:t>
      </w:r>
      <w:r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新式軍人退伍俸給制度</w:t>
      </w:r>
      <w:r w:rsidRPr="00A81BCE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』</w:t>
      </w:r>
      <w:r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」的建立，必須基於</w:t>
      </w:r>
      <w:r w:rsidRPr="00A81BCE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『</w:t>
      </w:r>
      <w:r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促進招募、穩定現役、安撫退員</w:t>
      </w:r>
      <w:r w:rsidRPr="00A81BCE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』</w:t>
      </w:r>
      <w:r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的目的，參考美軍退撫制度，來設計全新的軍人退伍俸給制度，與公教退撫制度脫鉤，以期使軍人退撫基金永續運作</w:t>
      </w:r>
      <w:r w:rsidRPr="00A81BCE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」。</w:t>
      </w:r>
    </w:p>
    <w:p w:rsidR="00172BC6" w:rsidRPr="00A81BCE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bCs/>
          <w:color w:val="444444"/>
          <w:spacing w:val="12"/>
          <w:sz w:val="27"/>
          <w:szCs w:val="27"/>
          <w:lang w:eastAsia="zh-TW"/>
        </w:rPr>
      </w:pPr>
      <w:r w:rsidRPr="00A81BCE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八百壯士指揮部摘錄：105.8.8國家年金改革委員會第6次會議委員意見，國防部回應說明資料(第2頁)：</w:t>
      </w:r>
    </w:p>
    <w:p w:rsidR="00172BC6" w:rsidRPr="00A81BCE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  <w:r w:rsidRPr="00A81BCE">
        <w:rPr>
          <w:rFonts w:ascii="標楷體" w:eastAsia="標楷體" w:hAnsi="標楷體" w:hint="eastAsia"/>
          <w:b/>
          <w:bCs/>
          <w:spacing w:val="12"/>
          <w:sz w:val="27"/>
          <w:szCs w:val="27"/>
          <w:lang w:eastAsia="zh-TW"/>
        </w:rPr>
        <w:t>請國防部將我國現行軍人退撫作法與美國實施比較，提供委員瞭解制度差異。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color w:val="0000FF"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----國防部說明----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一、美國軍人退撫基金由退伍軍人部管制(教師、警察、消防…等均分別設置退撫基金)，由</w:t>
      </w:r>
      <w:r>
        <w:rPr>
          <w:rFonts w:ascii="標楷體" w:eastAsia="標楷體" w:hAnsi="標楷體" w:hint="eastAsia"/>
          <w:b/>
          <w:bCs/>
          <w:color w:val="0000FF"/>
          <w:spacing w:val="12"/>
          <w:sz w:val="27"/>
          <w:szCs w:val="27"/>
          <w:lang w:eastAsia="zh-TW"/>
        </w:rPr>
        <w:t>國防部每年編列預算，軍人不需要繳交基金費用</w:t>
      </w:r>
      <w:r w:rsidR="00C070E0">
        <w:rPr>
          <w:rFonts w:ascii="標楷體" w:eastAsia="標楷體" w:hAnsi="標楷體" w:hint="eastAsia"/>
          <w:b/>
          <w:bCs/>
          <w:color w:val="0000FF"/>
          <w:spacing w:val="12"/>
          <w:sz w:val="27"/>
          <w:szCs w:val="27"/>
          <w:lang w:eastAsia="zh-TW"/>
        </w:rPr>
        <w:t>(公務預算編列即恩給制)</w:t>
      </w:r>
      <w:r>
        <w:rPr>
          <w:rFonts w:ascii="標楷體" w:eastAsia="標楷體" w:hAnsi="標楷體" w:hint="eastAsia"/>
          <w:b/>
          <w:bCs/>
          <w:color w:val="0000FF"/>
          <w:spacing w:val="12"/>
          <w:sz w:val="27"/>
          <w:szCs w:val="27"/>
          <w:lang w:eastAsia="zh-TW"/>
        </w:rPr>
        <w:t>，並提供醫療保險及就學獎(助)金</w:t>
      </w:r>
      <w:r>
        <w:rPr>
          <w:rFonts w:ascii="標楷體" w:eastAsia="標楷體" w:hAnsi="標楷體" w:hint="eastAsia"/>
          <w:b/>
          <w:color w:val="444444"/>
          <w:spacing w:val="12"/>
          <w:sz w:val="27"/>
          <w:szCs w:val="27"/>
          <w:lang w:eastAsia="zh-TW"/>
        </w:rPr>
        <w:t>。</w:t>
      </w:r>
    </w:p>
    <w:p w:rsidR="00172BC6" w:rsidRPr="00C070E0" w:rsidRDefault="00172BC6" w:rsidP="00172BC6">
      <w:pPr>
        <w:pStyle w:val="a3"/>
        <w:rPr>
          <w:rFonts w:ascii="標楷體" w:eastAsia="標楷體" w:hAnsi="標楷體"/>
          <w:b/>
          <w:noProof/>
          <w:color w:val="444444"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國軍：</w:t>
      </w:r>
    </w:p>
    <w:p w:rsidR="00172BC6" w:rsidRDefault="00172BC6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志願役軍人需與政府共同提撥退撫基金費用。例如：上士12級(俸點390點)個人自繳退撫費2,165元(月)、少校12級(俸點595點)個人自繳退撫費3,312元(月)。</w:t>
      </w:r>
      <w:r w:rsidR="00A81BCE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【</w:t>
      </w: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請參見</w:t>
      </w:r>
      <w:r w:rsidR="0001506D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附件一</w:t>
      </w: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：</w:t>
      </w:r>
      <w:hyperlink r:id="rId7" w:tgtFrame="_blank" w:history="1">
        <w:r w:rsidRPr="00172BC6">
          <w:rPr>
            <w:rStyle w:val="a4"/>
            <w:rFonts w:ascii="標楷體" w:eastAsia="標楷體" w:hAnsi="標楷體" w:hint="eastAsia"/>
            <w:b/>
            <w:spacing w:val="12"/>
            <w:sz w:val="27"/>
            <w:szCs w:val="27"/>
            <w:u w:val="none"/>
            <w:lang w:eastAsia="zh-TW"/>
          </w:rPr>
          <w:t>100年度軍職人員基金繳納費用對照表（100.7.1生效）</w:t>
        </w:r>
      </w:hyperlink>
      <w:r w:rsidR="00A81BCE" w:rsidRPr="00A81BCE">
        <w:rPr>
          <w:rFonts w:asciiTheme="minorEastAsia" w:hAnsiTheme="minorEastAsia" w:hint="eastAsia"/>
          <w:sz w:val="27"/>
          <w:szCs w:val="27"/>
          <w:lang w:eastAsia="zh-TW"/>
        </w:rPr>
        <w:t>】</w:t>
      </w:r>
    </w:p>
    <w:p w:rsidR="0001506D" w:rsidRDefault="0001506D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95208F" w:rsidRDefault="0095208F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95208F" w:rsidRDefault="0095208F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95208F" w:rsidRDefault="0095208F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01506D" w:rsidRPr="00A81BCE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444444"/>
          <w:spacing w:val="12"/>
          <w:sz w:val="27"/>
          <w:szCs w:val="27"/>
          <w:lang w:eastAsia="zh-TW"/>
        </w:rPr>
        <w:lastRenderedPageBreak/>
        <w:t>附件一：</w:t>
      </w:r>
    </w:p>
    <w:p w:rsidR="00172BC6" w:rsidRDefault="0095208F" w:rsidP="00172BC6">
      <w:pPr>
        <w:pStyle w:val="a3"/>
        <w:rPr>
          <w:rFonts w:ascii="標楷體" w:eastAsia="標楷體" w:hAnsi="標楷體"/>
          <w:b/>
          <w:color w:val="0000FF"/>
          <w:spacing w:val="12"/>
          <w:sz w:val="27"/>
          <w:szCs w:val="27"/>
          <w:lang w:eastAsia="zh-TW"/>
        </w:rPr>
      </w:pPr>
      <w:r w:rsidRPr="00B87DC6">
        <w:rPr>
          <w:rFonts w:ascii="標楷體" w:eastAsia="標楷體" w:hAnsi="標楷體"/>
          <w:b/>
          <w:color w:val="0000FF"/>
          <w:spacing w:val="12"/>
          <w:sz w:val="27"/>
          <w:szCs w:val="27"/>
          <w:lang w:eastAsia="zh-TW"/>
        </w:rPr>
        <w:object w:dxaOrig="15617" w:dyaOrig="24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699pt" o:ole="">
            <v:imagedata r:id="rId8" o:title=""/>
          </v:shape>
          <o:OLEObject Type="Embed" ProgID="Excel.Sheet.8" ShapeID="_x0000_i1025" DrawAspect="Content" ObjectID="_1561562258" r:id="rId9"/>
        </w:object>
      </w: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lastRenderedPageBreak/>
        <w:t>二、美國尉官最大服役年限約33歲、校官約42至52歲之間，</w:t>
      </w:r>
      <w:r>
        <w:rPr>
          <w:rFonts w:ascii="標楷體" w:eastAsia="標楷體" w:hAnsi="標楷體" w:hint="eastAsia"/>
          <w:b/>
          <w:bCs/>
          <w:color w:val="0000FF"/>
          <w:spacing w:val="12"/>
          <w:sz w:val="27"/>
          <w:szCs w:val="27"/>
          <w:lang w:eastAsia="zh-TW"/>
        </w:rPr>
        <w:t>服役滿20年可領退伍前薪資50％退休金，滿40年以上者可領全額</w:t>
      </w:r>
      <w:r>
        <w:rPr>
          <w:rFonts w:ascii="標楷體" w:eastAsia="標楷體" w:hAnsi="標楷體" w:hint="eastAsia"/>
          <w:b/>
          <w:color w:val="444444"/>
          <w:spacing w:val="12"/>
          <w:sz w:val="27"/>
          <w:szCs w:val="27"/>
          <w:lang w:eastAsia="zh-TW"/>
        </w:rPr>
        <w:t>。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noProof/>
          <w:color w:val="444444"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國軍：</w:t>
      </w:r>
    </w:p>
    <w:p w:rsidR="00172BC6" w:rsidRDefault="00172BC6" w:rsidP="00172BC6">
      <w:pPr>
        <w:pStyle w:val="a3"/>
        <w:rPr>
          <w:rFonts w:asciiTheme="minorEastAsia" w:hAnsiTheme="minorEastAsia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月退俸所得替代率：以服役20年為例，上士12級所得替代率38.5%、少校12級所得替代率44.3%。</w:t>
      </w:r>
      <w:r w:rsidR="00A81BCE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【</w:t>
      </w: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請參見</w:t>
      </w:r>
      <w:r w:rsidR="0001506D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附件二</w:t>
      </w: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：</w:t>
      </w:r>
      <w:hyperlink r:id="rId10" w:tgtFrame="_blank" w:history="1">
        <w:r w:rsidRPr="00A81BCE">
          <w:rPr>
            <w:rStyle w:val="a4"/>
            <w:rFonts w:ascii="標楷體" w:eastAsia="標楷體" w:hAnsi="標楷體" w:hint="eastAsia"/>
            <w:b/>
            <w:spacing w:val="12"/>
            <w:sz w:val="27"/>
            <w:szCs w:val="27"/>
            <w:u w:val="none"/>
            <w:lang w:eastAsia="zh-TW"/>
          </w:rPr>
          <w:t>軍職人員月退俸及所得替代率試算</w:t>
        </w:r>
      </w:hyperlink>
      <w:r w:rsidR="00A81BCE" w:rsidRPr="00A81BCE">
        <w:rPr>
          <w:rFonts w:asciiTheme="minorEastAsia" w:hAnsiTheme="minorEastAsia" w:hint="eastAsia"/>
          <w:sz w:val="27"/>
          <w:szCs w:val="27"/>
          <w:lang w:eastAsia="zh-TW"/>
        </w:rPr>
        <w:t>】</w:t>
      </w:r>
    </w:p>
    <w:p w:rsidR="0095208F" w:rsidRDefault="0095208F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</w:p>
    <w:p w:rsidR="0001506D" w:rsidRPr="00A81BCE" w:rsidRDefault="00BC211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附件二：</w:t>
      </w:r>
    </w:p>
    <w:p w:rsidR="00172BC6" w:rsidRDefault="0001506D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/>
          <w:b/>
          <w:noProof/>
          <w:color w:val="444444"/>
          <w:spacing w:val="12"/>
          <w:sz w:val="27"/>
          <w:szCs w:val="27"/>
          <w:lang w:eastAsia="zh-TW"/>
        </w:rPr>
        <w:drawing>
          <wp:inline distT="0" distB="0" distL="0" distR="0">
            <wp:extent cx="6191250" cy="3549650"/>
            <wp:effectExtent l="19050" t="0" r="0" b="0"/>
            <wp:docPr id="15" name="圖片 15" descr="C:\Users\Scorpio\Desktop\軍職月退薪俸試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corpio\Desktop\軍職月退薪俸試算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6D" w:rsidRDefault="0001506D" w:rsidP="00172BC6">
      <w:pPr>
        <w:pStyle w:val="a3"/>
        <w:rPr>
          <w:rFonts w:ascii="標楷體" w:eastAsia="標楷體" w:hAnsi="標楷體"/>
          <w:b/>
          <w:color w:val="0000FF"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 w:rsidRPr="00A81BCE"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三、</w:t>
      </w: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美國國家法典規定，明令保護退伍軍人就業權利，不僅民間企業遵守，政府單位更應為民間企業表率，且薪水與福利均與同職等人員相同，亦</w:t>
      </w:r>
      <w:r>
        <w:rPr>
          <w:rFonts w:ascii="標楷體" w:eastAsia="標楷體" w:hAnsi="標楷體" w:hint="eastAsia"/>
          <w:b/>
          <w:bCs/>
          <w:color w:val="0000FF"/>
          <w:spacing w:val="12"/>
          <w:sz w:val="27"/>
          <w:szCs w:val="27"/>
          <w:lang w:eastAsia="zh-TW"/>
        </w:rPr>
        <w:t>無須停支其月退休俸</w:t>
      </w: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。依據2010年9月17日華盛頓郵報報導指出，歐巴馬政府鼓勵政府機關僱用退伍軍人，2010年上半年美國公職人員具退伍軍人背景者達30.2％，較2009年的26.8％，多僱用了約2,600位退伍軍人。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noProof/>
          <w:color w:val="444444"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國軍：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bCs/>
          <w:spacing w:val="12"/>
          <w:sz w:val="27"/>
          <w:szCs w:val="27"/>
          <w:lang w:eastAsia="zh-TW"/>
        </w:rPr>
        <w:t>支領退休俸再任公職者，符合停支退休俸標準時，需停支退休俸</w:t>
      </w:r>
    </w:p>
    <w:p w:rsidR="00172BC6" w:rsidRPr="00A81BCE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支領退休俸軍官士官就任由公庫支給薪俸、待遇或公費之職務，薪俸合計超過32160元，需停支退休俸。(請參見：</w:t>
      </w:r>
      <w:hyperlink r:id="rId12" w:tgtFrame="_blank" w:history="1">
        <w:r w:rsidRPr="00A81BCE">
          <w:rPr>
            <w:rStyle w:val="a4"/>
            <w:rFonts w:ascii="標楷體" w:eastAsia="標楷體" w:hAnsi="標楷體" w:hint="eastAsia"/>
            <w:b/>
            <w:spacing w:val="12"/>
            <w:sz w:val="27"/>
            <w:szCs w:val="27"/>
            <w:u w:val="none"/>
            <w:lang w:eastAsia="zh-TW"/>
          </w:rPr>
          <w:t>支領退休俸軍官士官就任公職停發退休俸辦法之相關解釋</w:t>
        </w:r>
      </w:hyperlink>
      <w:r w:rsidRPr="00A81BCE">
        <w:rPr>
          <w:rFonts w:ascii="標楷體" w:eastAsia="標楷體" w:hAnsi="標楷體" w:hint="eastAsia"/>
          <w:b/>
          <w:color w:val="444444"/>
          <w:spacing w:val="12"/>
          <w:sz w:val="27"/>
          <w:szCs w:val="27"/>
          <w:lang w:eastAsia="zh-TW"/>
        </w:rPr>
        <w:t>)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</w:p>
    <w:p w:rsidR="00172BC6" w:rsidRDefault="003D67B3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hyperlink r:id="rId13" w:history="1">
        <w:r w:rsidR="00172BC6" w:rsidRPr="00A81BCE">
          <w:rPr>
            <w:rStyle w:val="a4"/>
            <w:rFonts w:ascii="標楷體" w:eastAsia="標楷體" w:hAnsi="標楷體" w:hint="eastAsia"/>
            <w:b/>
            <w:spacing w:val="12"/>
            <w:sz w:val="27"/>
            <w:szCs w:val="27"/>
            <w:u w:val="none"/>
            <w:lang w:eastAsia="zh-TW"/>
          </w:rPr>
          <w:t>退伍軍職人員再任公職應停止領受月退休俸之規定為何？</w:t>
        </w:r>
      </w:hyperlink>
      <w:r w:rsidR="00172BC6"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退撫基金業務作業問與答</w:t>
      </w:r>
    </w:p>
    <w:p w:rsidR="00172BC6" w:rsidRPr="00A81BCE" w:rsidRDefault="003D67B3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hyperlink r:id="rId14" w:history="1">
        <w:r w:rsidR="00172BC6" w:rsidRPr="00A81BCE">
          <w:rPr>
            <w:rStyle w:val="a4"/>
            <w:rFonts w:ascii="標楷體" w:eastAsia="標楷體" w:hAnsi="標楷體" w:hint="eastAsia"/>
            <w:b/>
            <w:spacing w:val="12"/>
            <w:sz w:val="27"/>
            <w:szCs w:val="27"/>
            <w:u w:val="none"/>
            <w:shd w:val="clear" w:color="auto" w:fill="FFFFFF"/>
            <w:lang w:eastAsia="zh-TW"/>
          </w:rPr>
          <w:t>支領退休俸軍官士官就任公職停發退休俸辦法</w:t>
        </w:r>
      </w:hyperlink>
    </w:p>
    <w:p w:rsidR="00172BC6" w:rsidRDefault="00172BC6" w:rsidP="00172BC6">
      <w:pPr>
        <w:pStyle w:val="a3"/>
        <w:rPr>
          <w:rFonts w:ascii="標楷體" w:eastAsia="標楷體" w:hAnsi="標楷體"/>
          <w:b/>
          <w:color w:val="0000FF"/>
          <w:spacing w:val="12"/>
          <w:sz w:val="27"/>
          <w:szCs w:val="27"/>
          <w:lang w:eastAsia="zh-TW"/>
        </w:rPr>
      </w:pPr>
    </w:p>
    <w:p w:rsidR="00172BC6" w:rsidRDefault="00172BC6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四、美國退伍軍人之權益有法令明文規範，並依政府政策落實執行；反觀我國雖有法律規範及憲法保障，</w:t>
      </w:r>
      <w:r>
        <w:rPr>
          <w:rFonts w:ascii="標楷體" w:eastAsia="標楷體" w:hAnsi="標楷體" w:hint="eastAsia"/>
          <w:b/>
          <w:bCs/>
          <w:color w:val="0000FF"/>
          <w:spacing w:val="12"/>
          <w:sz w:val="27"/>
          <w:szCs w:val="27"/>
          <w:lang w:eastAsia="zh-TW"/>
        </w:rPr>
        <w:t>卻未落實並據以執行</w:t>
      </w:r>
      <w:r>
        <w:rPr>
          <w:rFonts w:ascii="標楷體" w:eastAsia="標楷體" w:hAnsi="標楷體" w:hint="eastAsia"/>
          <w:b/>
          <w:color w:val="0000FF"/>
          <w:spacing w:val="12"/>
          <w:sz w:val="27"/>
          <w:szCs w:val="27"/>
          <w:lang w:eastAsia="zh-TW"/>
        </w:rPr>
        <w:t>，致軍職人員退後轉業多有限制，政府亦難以留用人才。</w:t>
      </w:r>
    </w:p>
    <w:p w:rsidR="00172BC6" w:rsidRDefault="00172BC6" w:rsidP="00172BC6">
      <w:pPr>
        <w:pStyle w:val="a3"/>
        <w:rPr>
          <w:rFonts w:ascii="標楷體" w:eastAsia="標楷體" w:hAnsi="標楷體"/>
          <w:b/>
          <w:color w:val="222222"/>
          <w:spacing w:val="12"/>
          <w:sz w:val="27"/>
          <w:szCs w:val="27"/>
          <w:lang w:eastAsia="zh-TW"/>
        </w:rPr>
      </w:pPr>
      <w:bookmarkStart w:id="0" w:name="表二"/>
    </w:p>
    <w:p w:rsidR="00172BC6" w:rsidRDefault="00172BC6" w:rsidP="00172BC6">
      <w:pPr>
        <w:pStyle w:val="a3"/>
        <w:rPr>
          <w:rFonts w:ascii="標楷體" w:eastAsia="標楷體" w:hAnsi="標楷體"/>
          <w:b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spacing w:val="12"/>
          <w:sz w:val="27"/>
          <w:szCs w:val="27"/>
          <w:lang w:eastAsia="zh-TW"/>
        </w:rPr>
        <w:t>國軍：</w:t>
      </w:r>
    </w:p>
    <w:p w:rsidR="00172BC6" w:rsidRDefault="004A3ADC" w:rsidP="00172BC6">
      <w:pPr>
        <w:pStyle w:val="a3"/>
        <w:rPr>
          <w:rFonts w:ascii="標楷體" w:eastAsia="標楷體" w:hAnsi="標楷體"/>
          <w:b/>
          <w:color w:val="222222"/>
          <w:spacing w:val="12"/>
          <w:sz w:val="27"/>
          <w:szCs w:val="27"/>
          <w:lang w:eastAsia="zh-TW"/>
        </w:rPr>
      </w:pPr>
      <w:r>
        <w:rPr>
          <w:rFonts w:ascii="標楷體" w:eastAsia="標楷體" w:hAnsi="標楷體" w:hint="eastAsia"/>
          <w:b/>
          <w:color w:val="222222"/>
          <w:spacing w:val="12"/>
          <w:sz w:val="27"/>
          <w:szCs w:val="27"/>
          <w:lang w:eastAsia="zh-TW"/>
        </w:rPr>
        <w:t>附件三</w:t>
      </w:r>
      <w:r w:rsidR="00172BC6">
        <w:rPr>
          <w:rFonts w:ascii="標楷體" w:eastAsia="標楷體" w:hAnsi="標楷體" w:hint="eastAsia"/>
          <w:b/>
          <w:color w:val="222222"/>
          <w:spacing w:val="12"/>
          <w:sz w:val="27"/>
          <w:szCs w:val="27"/>
          <w:lang w:eastAsia="zh-TW"/>
        </w:rPr>
        <w:t>：退輔會榮民統計月報(民105年1月)</w:t>
      </w:r>
      <w:bookmarkEnd w:id="0"/>
    </w:p>
    <w:p w:rsidR="00172BC6" w:rsidRDefault="00A81BCE" w:rsidP="00172BC6">
      <w:pPr>
        <w:pStyle w:val="a3"/>
        <w:rPr>
          <w:rFonts w:ascii="標楷體" w:eastAsia="標楷體" w:hAnsi="標楷體"/>
          <w:b/>
          <w:color w:val="444444"/>
          <w:spacing w:val="12"/>
          <w:sz w:val="27"/>
          <w:szCs w:val="27"/>
          <w:lang w:eastAsia="zh-TW"/>
        </w:rPr>
      </w:pPr>
      <w:r>
        <w:rPr>
          <w:rFonts w:ascii="標楷體" w:eastAsia="標楷體" w:hAnsi="標楷體"/>
          <w:b/>
          <w:noProof/>
          <w:color w:val="444444"/>
          <w:spacing w:val="12"/>
          <w:sz w:val="27"/>
          <w:szCs w:val="27"/>
          <w:lang w:eastAsia="zh-TW"/>
        </w:rPr>
        <w:drawing>
          <wp:inline distT="0" distB="0" distL="0" distR="0">
            <wp:extent cx="6178550" cy="5905500"/>
            <wp:effectExtent l="19050" t="0" r="0" b="0"/>
            <wp:docPr id="1" name="圖片 1" descr="C:\Users\Scorpio\Desktop\1471193275-189922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rpio\Desktop\1471193275-18992242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71A" w:rsidRDefault="005F4DA3">
      <w:pPr>
        <w:rPr>
          <w:rFonts w:ascii="標楷體" w:eastAsia="標楷體" w:hAnsi="標楷體" w:cs="Arial"/>
          <w:b/>
          <w:sz w:val="27"/>
          <w:szCs w:val="27"/>
          <w:lang w:eastAsia="zh-TW"/>
        </w:rPr>
      </w:pPr>
      <w:r w:rsidRPr="00D37BED">
        <w:rPr>
          <w:rFonts w:ascii="標楷體" w:eastAsia="標楷體" w:hAnsi="標楷體" w:hint="eastAsia"/>
          <w:b/>
          <w:sz w:val="27"/>
          <w:szCs w:val="27"/>
          <w:lang w:eastAsia="zh-TW"/>
        </w:rPr>
        <w:t>八百壯士基於維護退休袍澤權益立場，</w:t>
      </w:r>
      <w:r w:rsidR="00D37BED">
        <w:rPr>
          <w:rFonts w:ascii="標楷體" w:eastAsia="標楷體" w:hAnsi="標楷體" w:hint="eastAsia"/>
          <w:b/>
          <w:sz w:val="27"/>
          <w:szCs w:val="27"/>
          <w:lang w:eastAsia="zh-TW"/>
        </w:rPr>
        <w:t>愷切</w:t>
      </w:r>
      <w:r w:rsidRPr="00D37BED">
        <w:rPr>
          <w:rFonts w:ascii="標楷體" w:eastAsia="標楷體" w:hAnsi="標楷體" w:hint="eastAsia"/>
          <w:b/>
          <w:sz w:val="27"/>
          <w:szCs w:val="27"/>
          <w:lang w:eastAsia="zh-TW"/>
        </w:rPr>
        <w:t>希望</w:t>
      </w:r>
      <w:r w:rsidR="00D37BED">
        <w:rPr>
          <w:rFonts w:ascii="標楷體" w:eastAsia="標楷體" w:hAnsi="標楷體" w:hint="eastAsia"/>
          <w:b/>
          <w:sz w:val="27"/>
          <w:szCs w:val="27"/>
          <w:lang w:eastAsia="zh-TW"/>
        </w:rPr>
        <w:t>執政黨貫徹</w:t>
      </w:r>
      <w:r w:rsidR="00D37BED" w:rsidRPr="00D37BED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『</w:t>
      </w:r>
      <w:r w:rsidR="00D37BED" w:rsidRPr="00D37BED">
        <w:rPr>
          <w:rFonts w:ascii="標楷體" w:eastAsia="標楷體" w:hAnsi="標楷體" w:cs="Arial"/>
          <w:b/>
          <w:sz w:val="27"/>
          <w:szCs w:val="27"/>
          <w:lang w:eastAsia="zh-TW"/>
        </w:rPr>
        <w:t>促進招募、穩定現役、安撫退員</w:t>
      </w:r>
      <w:r w:rsidR="00D37BED" w:rsidRPr="00D37BED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』</w:t>
      </w:r>
      <w:r w:rsidR="00D37BED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普遍共識，並落實</w:t>
      </w:r>
      <w:r w:rsidRPr="00D37BED">
        <w:rPr>
          <w:rFonts w:ascii="標楷體" w:eastAsia="標楷體" w:hAnsi="標楷體" w:hint="eastAsia"/>
          <w:b/>
          <w:sz w:val="27"/>
          <w:szCs w:val="27"/>
          <w:lang w:eastAsia="zh-TW"/>
        </w:rPr>
        <w:t>政策宣示</w:t>
      </w:r>
      <w:r w:rsidR="00D37BED">
        <w:rPr>
          <w:rFonts w:ascii="標楷體" w:eastAsia="標楷體" w:hAnsi="標楷體" w:hint="eastAsia"/>
          <w:b/>
          <w:sz w:val="27"/>
          <w:szCs w:val="27"/>
          <w:lang w:eastAsia="zh-TW"/>
        </w:rPr>
        <w:t>與執</w:t>
      </w:r>
      <w:r w:rsidRPr="00D37BED">
        <w:rPr>
          <w:rFonts w:ascii="標楷體" w:eastAsia="標楷體" w:hAnsi="標楷體" w:hint="eastAsia"/>
          <w:b/>
          <w:sz w:val="27"/>
          <w:szCs w:val="27"/>
          <w:lang w:eastAsia="zh-TW"/>
        </w:rPr>
        <w:t>行</w:t>
      </w:r>
      <w:r w:rsidR="00D37BED">
        <w:rPr>
          <w:rFonts w:ascii="標楷體" w:eastAsia="標楷體" w:hAnsi="標楷體" w:hint="eastAsia"/>
          <w:b/>
          <w:sz w:val="27"/>
          <w:szCs w:val="27"/>
          <w:lang w:eastAsia="zh-TW"/>
        </w:rPr>
        <w:t>，</w:t>
      </w:r>
      <w:r w:rsidR="00D37BED" w:rsidRPr="00A81BCE">
        <w:rPr>
          <w:rFonts w:ascii="標楷體" w:eastAsia="標楷體" w:hAnsi="標楷體" w:cs="Arial"/>
          <w:b/>
          <w:sz w:val="27"/>
          <w:szCs w:val="27"/>
          <w:lang w:eastAsia="zh-TW"/>
        </w:rPr>
        <w:t>參考美軍退撫制度，來設計全新的軍人退伍俸給制度</w:t>
      </w:r>
      <w:r w:rsidR="00D37BED">
        <w:rPr>
          <w:rFonts w:ascii="標楷體" w:eastAsia="標楷體" w:hAnsi="標楷體" w:cs="Arial"/>
          <w:b/>
          <w:sz w:val="27"/>
          <w:szCs w:val="27"/>
          <w:lang w:eastAsia="zh-TW"/>
        </w:rPr>
        <w:t>，</w:t>
      </w:r>
      <w:r w:rsidR="004A3ADC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期</w:t>
      </w:r>
      <w:r w:rsidR="00D37BED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重拾</w:t>
      </w:r>
      <w:r w:rsidR="004A3ADC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對政府</w:t>
      </w:r>
      <w:r w:rsidR="00D37BED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軍人信心與信任。</w:t>
      </w:r>
    </w:p>
    <w:p w:rsidR="00D37BED" w:rsidRDefault="00D37BED">
      <w:pPr>
        <w:rPr>
          <w:rFonts w:ascii="標楷體" w:eastAsia="標楷體" w:hAnsi="標楷體" w:cs="Arial"/>
          <w:b/>
          <w:sz w:val="27"/>
          <w:szCs w:val="27"/>
          <w:lang w:eastAsia="zh-TW"/>
        </w:rPr>
      </w:pPr>
    </w:p>
    <w:p w:rsidR="00D37BED" w:rsidRPr="00D37BED" w:rsidRDefault="00D37BED">
      <w:pPr>
        <w:rPr>
          <w:rFonts w:ascii="標楷體" w:eastAsia="標楷體" w:hAnsi="標楷體"/>
          <w:b/>
          <w:sz w:val="27"/>
          <w:szCs w:val="27"/>
          <w:lang w:eastAsia="zh-TW"/>
        </w:rPr>
      </w:pPr>
      <w:r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八百壯士指揮官   吳其樑  106.7.1</w:t>
      </w:r>
      <w:r w:rsidR="00EB56CE">
        <w:rPr>
          <w:rFonts w:ascii="標楷體" w:eastAsia="標楷體" w:hAnsi="標楷體" w:cs="Arial" w:hint="eastAsia"/>
          <w:b/>
          <w:sz w:val="27"/>
          <w:szCs w:val="27"/>
          <w:lang w:eastAsia="zh-TW"/>
        </w:rPr>
        <w:t>4</w:t>
      </w:r>
    </w:p>
    <w:sectPr w:rsidR="00D37BED" w:rsidRPr="00D37BED" w:rsidSect="009520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8C" w:rsidRDefault="00905C8C" w:rsidP="00C070E0">
      <w:r>
        <w:separator/>
      </w:r>
    </w:p>
  </w:endnote>
  <w:endnote w:type="continuationSeparator" w:id="1">
    <w:p w:rsidR="00905C8C" w:rsidRDefault="00905C8C" w:rsidP="00C0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8C" w:rsidRDefault="00905C8C" w:rsidP="00C070E0">
      <w:r>
        <w:separator/>
      </w:r>
    </w:p>
  </w:footnote>
  <w:footnote w:type="continuationSeparator" w:id="1">
    <w:p w:rsidR="00905C8C" w:rsidRDefault="00905C8C" w:rsidP="00C07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BC6"/>
    <w:rsid w:val="0001506D"/>
    <w:rsid w:val="001244EB"/>
    <w:rsid w:val="00172BC6"/>
    <w:rsid w:val="003D67B3"/>
    <w:rsid w:val="004601A7"/>
    <w:rsid w:val="004A3ADC"/>
    <w:rsid w:val="005023CB"/>
    <w:rsid w:val="005F4DA3"/>
    <w:rsid w:val="006C371A"/>
    <w:rsid w:val="00721BCB"/>
    <w:rsid w:val="008F1DB0"/>
    <w:rsid w:val="008F5ABD"/>
    <w:rsid w:val="00905C8C"/>
    <w:rsid w:val="0095208F"/>
    <w:rsid w:val="00A81BCE"/>
    <w:rsid w:val="00A82B31"/>
    <w:rsid w:val="00B87DC6"/>
    <w:rsid w:val="00BC211D"/>
    <w:rsid w:val="00C070E0"/>
    <w:rsid w:val="00C47075"/>
    <w:rsid w:val="00C97B54"/>
    <w:rsid w:val="00D37BED"/>
    <w:rsid w:val="00D425DE"/>
    <w:rsid w:val="00D74693"/>
    <w:rsid w:val="00DA2257"/>
    <w:rsid w:val="00EB56CE"/>
    <w:rsid w:val="00EC7EA5"/>
    <w:rsid w:val="00F1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693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D74693"/>
    <w:pPr>
      <w:ind w:left="119"/>
      <w:outlineLvl w:val="2"/>
    </w:pPr>
    <w:rPr>
      <w:rFonts w:ascii="細明體_HKSCS" w:eastAsia="細明體_HKSCS" w:hAnsi="細明體_HKSCS"/>
      <w:sz w:val="64"/>
      <w:szCs w:val="64"/>
    </w:rPr>
  </w:style>
  <w:style w:type="paragraph" w:customStyle="1" w:styleId="TableParagraph">
    <w:name w:val="Table Paragraph"/>
    <w:basedOn w:val="a"/>
    <w:uiPriority w:val="1"/>
    <w:qFormat/>
    <w:rsid w:val="00D74693"/>
  </w:style>
  <w:style w:type="paragraph" w:styleId="a3">
    <w:name w:val="No Spacing"/>
    <w:uiPriority w:val="1"/>
    <w:qFormat/>
    <w:rsid w:val="00172BC6"/>
    <w:pPr>
      <w:widowControl w:val="0"/>
    </w:pPr>
    <w:rPr>
      <w:kern w:val="0"/>
      <w:sz w:val="22"/>
      <w:lang w:eastAsia="en-US"/>
    </w:rPr>
  </w:style>
  <w:style w:type="character" w:styleId="a4">
    <w:name w:val="Hyperlink"/>
    <w:basedOn w:val="a0"/>
    <w:uiPriority w:val="99"/>
    <w:semiHidden/>
    <w:unhideWhenUsed/>
    <w:rsid w:val="00172B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1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81BC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07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070E0"/>
    <w:rPr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07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070E0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und.gov.tw/ct.asp?xItem=2341&amp;ctNode=399&amp;mp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.gov.tw/dl.asp?icuitem=3505&amp;fileName=162319235871.xls" TargetMode="External"/><Relationship Id="rId12" Type="http://schemas.openxmlformats.org/officeDocument/2006/relationships/hyperlink" Target="http://otheryen.pixnet.net/blog/post/4408225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theryen.pixnet.net/blog/post/450415769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otheryen.pixnet.net/blog/post/450627635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Microsoft_Excel_97-2003_Worksheet1.xls"/><Relationship Id="rId14" Type="http://schemas.openxmlformats.org/officeDocument/2006/relationships/hyperlink" Target="http://law.moj.gov.tw/LawClass/LawContent.aspx?PCODE=F011001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yp y</cp:lastModifiedBy>
  <cp:revision>11</cp:revision>
  <dcterms:created xsi:type="dcterms:W3CDTF">2017-07-14T01:21:00Z</dcterms:created>
  <dcterms:modified xsi:type="dcterms:W3CDTF">2017-07-14T10:31:00Z</dcterms:modified>
</cp:coreProperties>
</file>