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C6" w:rsidRPr="00172BC6" w:rsidRDefault="00172BC6" w:rsidP="00172BC6">
      <w:pPr>
        <w:pStyle w:val="a3"/>
        <w:rPr>
          <w:rFonts w:ascii="標楷體" w:eastAsia="標楷體" w:hAnsi="標楷體"/>
          <w:b/>
          <w:color w:val="FF0000"/>
          <w:sz w:val="44"/>
          <w:szCs w:val="44"/>
          <w:lang w:eastAsia="zh-TW"/>
        </w:rPr>
      </w:pPr>
      <w:r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八百壯士公告105.8.8</w:t>
      </w:r>
      <w:r w:rsidR="004601A7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諮</w:t>
      </w:r>
      <w:r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詢年改會</w:t>
      </w:r>
      <w:r w:rsidR="005F4DA3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回應</w:t>
      </w:r>
      <w:r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「</w:t>
      </w:r>
      <w:hyperlink r:id="rId6" w:history="1">
        <w:r w:rsidRPr="00172BC6">
          <w:rPr>
            <w:rStyle w:val="a4"/>
            <w:rFonts w:ascii="標楷體" w:eastAsia="標楷體" w:hAnsi="標楷體" w:hint="eastAsia"/>
            <w:b/>
            <w:bCs/>
            <w:color w:val="FF0000"/>
            <w:sz w:val="44"/>
            <w:szCs w:val="44"/>
            <w:u w:val="none"/>
            <w:lang w:eastAsia="zh-TW"/>
          </w:rPr>
          <w:t>我國現行軍人退撫作法與美國比較</w:t>
        </w:r>
      </w:hyperlink>
      <w:r>
        <w:rPr>
          <w:rFonts w:ascii="標楷體" w:eastAsia="標楷體" w:hAnsi="標楷體"/>
          <w:b/>
          <w:color w:val="FF0000"/>
          <w:sz w:val="44"/>
          <w:szCs w:val="44"/>
          <w:lang w:eastAsia="zh-TW"/>
        </w:rPr>
        <w:t>」</w:t>
      </w:r>
    </w:p>
    <w:p w:rsidR="00172BC6" w:rsidRDefault="00172BC6" w:rsidP="00172BC6">
      <w:pPr>
        <w:pStyle w:val="a3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172BC6" w:rsidRPr="00A81BCE" w:rsidRDefault="00172BC6" w:rsidP="00172BC6">
      <w:pPr>
        <w:pStyle w:val="a3"/>
        <w:rPr>
          <w:rFonts w:ascii="標楷體" w:eastAsia="標楷體" w:hAnsi="標楷體"/>
          <w:b/>
          <w:spacing w:val="12"/>
          <w:sz w:val="27"/>
          <w:szCs w:val="27"/>
          <w:lang w:eastAsia="zh-TW"/>
        </w:rPr>
      </w:pPr>
      <w:r w:rsidRPr="00A81BCE"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針對106.7.11年改會新聞稿：「</w:t>
      </w:r>
      <w:r w:rsidRPr="00A81BCE">
        <w:rPr>
          <w:rFonts w:ascii="標楷體" w:eastAsia="標楷體" w:hAnsi="標楷體" w:cs="Arial"/>
          <w:b/>
          <w:sz w:val="27"/>
          <w:szCs w:val="27"/>
          <w:lang w:eastAsia="zh-TW"/>
        </w:rPr>
        <w:t>副總統</w:t>
      </w:r>
      <w:r w:rsidRPr="00A81BCE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陳建仁</w:t>
      </w:r>
      <w:r w:rsidRPr="00A81BCE">
        <w:rPr>
          <w:rFonts w:ascii="標楷體" w:eastAsia="標楷體" w:hAnsi="標楷體" w:cs="Arial"/>
          <w:b/>
          <w:sz w:val="27"/>
          <w:szCs w:val="27"/>
          <w:lang w:eastAsia="zh-TW"/>
        </w:rPr>
        <w:t>說</w:t>
      </w:r>
      <w:r w:rsidRPr="00A81BCE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：『</w:t>
      </w:r>
      <w:r w:rsidRPr="00A81BCE">
        <w:rPr>
          <w:rFonts w:ascii="標楷體" w:eastAsia="標楷體" w:hAnsi="標楷體" w:cs="Arial"/>
          <w:b/>
          <w:sz w:val="27"/>
          <w:szCs w:val="27"/>
          <w:lang w:eastAsia="zh-TW"/>
        </w:rPr>
        <w:t>新式軍人退伍俸給制度</w:t>
      </w:r>
      <w:r w:rsidRPr="00A81BCE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』</w:t>
      </w:r>
      <w:r w:rsidRPr="00A81BCE">
        <w:rPr>
          <w:rFonts w:ascii="標楷體" w:eastAsia="標楷體" w:hAnsi="標楷體" w:cs="Arial"/>
          <w:b/>
          <w:sz w:val="27"/>
          <w:szCs w:val="27"/>
          <w:lang w:eastAsia="zh-TW"/>
        </w:rPr>
        <w:t>」的建立，必須基於</w:t>
      </w:r>
      <w:r w:rsidRPr="00A81BCE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『</w:t>
      </w:r>
      <w:r w:rsidRPr="00A81BCE">
        <w:rPr>
          <w:rFonts w:ascii="標楷體" w:eastAsia="標楷體" w:hAnsi="標楷體" w:cs="Arial"/>
          <w:b/>
          <w:sz w:val="27"/>
          <w:szCs w:val="27"/>
          <w:lang w:eastAsia="zh-TW"/>
        </w:rPr>
        <w:t>促進招募、穩定現役、安撫退員</w:t>
      </w:r>
      <w:r w:rsidRPr="00A81BCE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』</w:t>
      </w:r>
      <w:r w:rsidRPr="00A81BCE">
        <w:rPr>
          <w:rFonts w:ascii="標楷體" w:eastAsia="標楷體" w:hAnsi="標楷體" w:cs="Arial"/>
          <w:b/>
          <w:sz w:val="27"/>
          <w:szCs w:val="27"/>
          <w:lang w:eastAsia="zh-TW"/>
        </w:rPr>
        <w:t>的目的，參考美軍退撫制度，來設計全新的軍人退伍俸給制度，與公教退撫制度脫鉤，以期使軍人退撫基金永續運作</w:t>
      </w:r>
      <w:r w:rsidRPr="00A81BCE"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」。</w:t>
      </w:r>
    </w:p>
    <w:p w:rsidR="00172BC6" w:rsidRPr="00A81BCE" w:rsidRDefault="00172BC6" w:rsidP="00172BC6">
      <w:pPr>
        <w:pStyle w:val="a3"/>
        <w:rPr>
          <w:rFonts w:ascii="標楷體" w:eastAsia="標楷體" w:hAnsi="標楷體"/>
          <w:b/>
          <w:spacing w:val="12"/>
          <w:sz w:val="27"/>
          <w:szCs w:val="27"/>
          <w:lang w:eastAsia="zh-TW"/>
        </w:rPr>
      </w:pPr>
    </w:p>
    <w:p w:rsidR="00172BC6" w:rsidRDefault="00172BC6" w:rsidP="00172BC6">
      <w:pPr>
        <w:pStyle w:val="a3"/>
        <w:rPr>
          <w:rFonts w:ascii="標楷體" w:eastAsia="標楷體" w:hAnsi="標楷體"/>
          <w:b/>
          <w:bCs/>
          <w:color w:val="444444"/>
          <w:spacing w:val="12"/>
          <w:sz w:val="27"/>
          <w:szCs w:val="27"/>
          <w:lang w:eastAsia="zh-TW"/>
        </w:rPr>
      </w:pPr>
      <w:r w:rsidRPr="00A81BCE"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八百壯士指揮部摘錄：105.8.8國家年金改革委員會第6次會議委員意見，國防部回應說明資料(第2頁)：</w:t>
      </w:r>
    </w:p>
    <w:p w:rsidR="00172BC6" w:rsidRPr="00A81BCE" w:rsidRDefault="00172BC6" w:rsidP="00172BC6">
      <w:pPr>
        <w:pStyle w:val="a3"/>
        <w:rPr>
          <w:rFonts w:ascii="標楷體" w:eastAsia="標楷體" w:hAnsi="標楷體"/>
          <w:b/>
          <w:spacing w:val="12"/>
          <w:sz w:val="27"/>
          <w:szCs w:val="27"/>
          <w:lang w:eastAsia="zh-TW"/>
        </w:rPr>
      </w:pPr>
      <w:r w:rsidRPr="00A81BCE">
        <w:rPr>
          <w:rFonts w:ascii="標楷體" w:eastAsia="標楷體" w:hAnsi="標楷體" w:hint="eastAsia"/>
          <w:b/>
          <w:bCs/>
          <w:spacing w:val="12"/>
          <w:sz w:val="27"/>
          <w:szCs w:val="27"/>
          <w:lang w:eastAsia="zh-TW"/>
        </w:rPr>
        <w:t>請國防部將我國現行軍人退撫作法與美國實施比較，提供委員瞭解制度差異。</w:t>
      </w:r>
    </w:p>
    <w:p w:rsidR="00172BC6" w:rsidRDefault="00172BC6" w:rsidP="00172BC6">
      <w:pPr>
        <w:pStyle w:val="a3"/>
        <w:rPr>
          <w:rFonts w:ascii="標楷體" w:eastAsia="標楷體" w:hAnsi="標楷體"/>
          <w:b/>
          <w:color w:val="0000FF"/>
          <w:spacing w:val="12"/>
          <w:sz w:val="27"/>
          <w:szCs w:val="27"/>
          <w:lang w:eastAsia="zh-TW"/>
        </w:rPr>
      </w:pPr>
    </w:p>
    <w:p w:rsidR="00172BC6" w:rsidRDefault="00172BC6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color w:val="0000FF"/>
          <w:spacing w:val="12"/>
          <w:sz w:val="27"/>
          <w:szCs w:val="27"/>
          <w:lang w:eastAsia="zh-TW"/>
        </w:rPr>
        <w:t>----國防部說明----</w:t>
      </w:r>
    </w:p>
    <w:p w:rsidR="00172BC6" w:rsidRDefault="00172BC6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color w:val="0000FF"/>
          <w:spacing w:val="12"/>
          <w:sz w:val="27"/>
          <w:szCs w:val="27"/>
          <w:lang w:eastAsia="zh-TW"/>
        </w:rPr>
        <w:t>一、美國軍人退撫基金由退伍軍人部管制(教師、警察、消防…等均分別設置退撫基金)，由</w:t>
      </w:r>
      <w:r>
        <w:rPr>
          <w:rFonts w:ascii="標楷體" w:eastAsia="標楷體" w:hAnsi="標楷體" w:hint="eastAsia"/>
          <w:b/>
          <w:bCs/>
          <w:color w:val="0000FF"/>
          <w:spacing w:val="12"/>
          <w:sz w:val="27"/>
          <w:szCs w:val="27"/>
          <w:lang w:eastAsia="zh-TW"/>
        </w:rPr>
        <w:t>國防部每年編列預算，軍人不需要繳交基金費用</w:t>
      </w:r>
      <w:r w:rsidR="00C070E0">
        <w:rPr>
          <w:rFonts w:ascii="標楷體" w:eastAsia="標楷體" w:hAnsi="標楷體" w:hint="eastAsia"/>
          <w:b/>
          <w:bCs/>
          <w:color w:val="0000FF"/>
          <w:spacing w:val="12"/>
          <w:sz w:val="27"/>
          <w:szCs w:val="27"/>
          <w:lang w:eastAsia="zh-TW"/>
        </w:rPr>
        <w:t>(公務預算編列即恩給制)</w:t>
      </w:r>
      <w:r>
        <w:rPr>
          <w:rFonts w:ascii="標楷體" w:eastAsia="標楷體" w:hAnsi="標楷體" w:hint="eastAsia"/>
          <w:b/>
          <w:bCs/>
          <w:color w:val="0000FF"/>
          <w:spacing w:val="12"/>
          <w:sz w:val="27"/>
          <w:szCs w:val="27"/>
          <w:lang w:eastAsia="zh-TW"/>
        </w:rPr>
        <w:t>，並提供醫療保險及就學獎(助)金</w:t>
      </w:r>
      <w:r>
        <w:rPr>
          <w:rFonts w:ascii="標楷體" w:eastAsia="標楷體" w:hAnsi="標楷體" w:hint="eastAsia"/>
          <w:b/>
          <w:color w:val="444444"/>
          <w:spacing w:val="12"/>
          <w:sz w:val="27"/>
          <w:szCs w:val="27"/>
          <w:lang w:eastAsia="zh-TW"/>
        </w:rPr>
        <w:t>。</w:t>
      </w:r>
    </w:p>
    <w:p w:rsidR="00172BC6" w:rsidRPr="00C070E0" w:rsidRDefault="00172BC6" w:rsidP="00172BC6">
      <w:pPr>
        <w:pStyle w:val="a3"/>
        <w:rPr>
          <w:rFonts w:ascii="標楷體" w:eastAsia="標楷體" w:hAnsi="標楷體"/>
          <w:b/>
          <w:noProof/>
          <w:color w:val="444444"/>
          <w:spacing w:val="12"/>
          <w:sz w:val="27"/>
          <w:szCs w:val="27"/>
          <w:lang w:eastAsia="zh-TW"/>
        </w:rPr>
      </w:pPr>
    </w:p>
    <w:p w:rsidR="00172BC6" w:rsidRDefault="00172BC6" w:rsidP="00172BC6">
      <w:pPr>
        <w:pStyle w:val="a3"/>
        <w:rPr>
          <w:rFonts w:ascii="標楷體" w:eastAsia="標楷體" w:hAnsi="標楷體"/>
          <w:b/>
          <w:spacing w:val="12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國軍：</w:t>
      </w:r>
    </w:p>
    <w:p w:rsidR="00172BC6" w:rsidRDefault="00172BC6" w:rsidP="00172BC6">
      <w:pPr>
        <w:pStyle w:val="a3"/>
        <w:rPr>
          <w:rFonts w:asciiTheme="minorEastAsia" w:hAnsiTheme="minorEastAsia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志願役軍人需與政府共同提撥退撫基金費用。例如：上士12級(俸點390點)個人自繳退撫費2,165元(月)、少校12級(俸點595點)個人自繳退撫費3,312元(月)。</w:t>
      </w:r>
      <w:r w:rsidR="00A81BCE"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【</w:t>
      </w:r>
      <w:r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請參見</w:t>
      </w:r>
      <w:r w:rsidR="0001506D"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附件一</w:t>
      </w:r>
      <w:r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：</w:t>
      </w:r>
      <w:hyperlink r:id="rId7" w:tgtFrame="_blank" w:history="1">
        <w:r w:rsidRPr="00172BC6">
          <w:rPr>
            <w:rStyle w:val="a4"/>
            <w:rFonts w:ascii="標楷體" w:eastAsia="標楷體" w:hAnsi="標楷體" w:hint="eastAsia"/>
            <w:b/>
            <w:spacing w:val="12"/>
            <w:sz w:val="27"/>
            <w:szCs w:val="27"/>
            <w:u w:val="none"/>
            <w:lang w:eastAsia="zh-TW"/>
          </w:rPr>
          <w:t>100年度軍職人員基金繳納費用對照表（100.7.1生效）</w:t>
        </w:r>
      </w:hyperlink>
      <w:r w:rsidR="00A81BCE" w:rsidRPr="00A81BCE">
        <w:rPr>
          <w:rFonts w:asciiTheme="minorEastAsia" w:hAnsiTheme="minorEastAsia" w:hint="eastAsia"/>
          <w:sz w:val="27"/>
          <w:szCs w:val="27"/>
          <w:lang w:eastAsia="zh-TW"/>
        </w:rPr>
        <w:t>】</w:t>
      </w:r>
    </w:p>
    <w:p w:rsidR="0001506D" w:rsidRDefault="0001506D" w:rsidP="00172BC6">
      <w:pPr>
        <w:pStyle w:val="a3"/>
        <w:rPr>
          <w:rFonts w:asciiTheme="minorEastAsia" w:hAnsiTheme="minorEastAsia"/>
          <w:sz w:val="27"/>
          <w:szCs w:val="27"/>
          <w:lang w:eastAsia="zh-TW"/>
        </w:rPr>
      </w:pPr>
    </w:p>
    <w:p w:rsidR="0001506D" w:rsidRDefault="0001506D" w:rsidP="00172BC6">
      <w:pPr>
        <w:pStyle w:val="a3"/>
        <w:rPr>
          <w:rFonts w:asciiTheme="minorEastAsia" w:hAnsiTheme="minorEastAsia"/>
          <w:sz w:val="27"/>
          <w:szCs w:val="27"/>
          <w:lang w:eastAsia="zh-TW"/>
        </w:rPr>
      </w:pPr>
    </w:p>
    <w:p w:rsidR="0001506D" w:rsidRDefault="0001506D" w:rsidP="00172BC6">
      <w:pPr>
        <w:pStyle w:val="a3"/>
        <w:rPr>
          <w:rFonts w:asciiTheme="minorEastAsia" w:hAnsiTheme="minorEastAsia"/>
          <w:sz w:val="27"/>
          <w:szCs w:val="27"/>
          <w:lang w:eastAsia="zh-TW"/>
        </w:rPr>
      </w:pPr>
    </w:p>
    <w:p w:rsidR="0001506D" w:rsidRDefault="0001506D" w:rsidP="00172BC6">
      <w:pPr>
        <w:pStyle w:val="a3"/>
        <w:rPr>
          <w:rFonts w:asciiTheme="minorEastAsia" w:hAnsiTheme="minorEastAsia"/>
          <w:sz w:val="27"/>
          <w:szCs w:val="27"/>
          <w:lang w:eastAsia="zh-TW"/>
        </w:rPr>
      </w:pPr>
    </w:p>
    <w:p w:rsidR="0001506D" w:rsidRDefault="0001506D" w:rsidP="00172BC6">
      <w:pPr>
        <w:pStyle w:val="a3"/>
        <w:rPr>
          <w:rFonts w:asciiTheme="minorEastAsia" w:hAnsiTheme="minorEastAsia"/>
          <w:sz w:val="27"/>
          <w:szCs w:val="27"/>
          <w:lang w:eastAsia="zh-TW"/>
        </w:rPr>
      </w:pPr>
    </w:p>
    <w:p w:rsidR="0001506D" w:rsidRDefault="0001506D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</w:p>
    <w:p w:rsidR="0001506D" w:rsidRDefault="0001506D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</w:p>
    <w:p w:rsidR="0001506D" w:rsidRDefault="0001506D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</w:p>
    <w:p w:rsidR="0001506D" w:rsidRDefault="0001506D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</w:p>
    <w:p w:rsidR="0001506D" w:rsidRDefault="0001506D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</w:p>
    <w:p w:rsidR="0001506D" w:rsidRDefault="0001506D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</w:p>
    <w:p w:rsidR="0001506D" w:rsidRDefault="0001506D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</w:p>
    <w:p w:rsidR="0095208F" w:rsidRDefault="0095208F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</w:p>
    <w:p w:rsidR="0095208F" w:rsidRDefault="0095208F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</w:p>
    <w:p w:rsidR="0095208F" w:rsidRDefault="0095208F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</w:p>
    <w:p w:rsidR="0001506D" w:rsidRPr="00A81BCE" w:rsidRDefault="0001506D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color w:val="444444"/>
          <w:spacing w:val="12"/>
          <w:sz w:val="27"/>
          <w:szCs w:val="27"/>
          <w:lang w:eastAsia="zh-TW"/>
        </w:rPr>
        <w:lastRenderedPageBreak/>
        <w:t>附件一：</w:t>
      </w:r>
    </w:p>
    <w:p w:rsidR="00172BC6" w:rsidRDefault="0095208F" w:rsidP="00172BC6">
      <w:pPr>
        <w:pStyle w:val="a3"/>
        <w:rPr>
          <w:rFonts w:ascii="標楷體" w:eastAsia="標楷體" w:hAnsi="標楷體"/>
          <w:b/>
          <w:color w:val="0000FF"/>
          <w:spacing w:val="12"/>
          <w:sz w:val="27"/>
          <w:szCs w:val="27"/>
          <w:lang w:eastAsia="zh-TW"/>
        </w:rPr>
      </w:pPr>
      <w:r w:rsidRPr="00B87DC6">
        <w:rPr>
          <w:rFonts w:ascii="標楷體" w:eastAsia="標楷體" w:hAnsi="標楷體"/>
          <w:b/>
          <w:color w:val="0000FF"/>
          <w:spacing w:val="12"/>
          <w:sz w:val="27"/>
          <w:szCs w:val="27"/>
          <w:lang w:eastAsia="zh-TW"/>
        </w:rPr>
        <w:object w:dxaOrig="15617" w:dyaOrig="24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pt;height:699pt" o:ole="">
            <v:imagedata r:id="rId8" o:title=""/>
          </v:shape>
          <o:OLEObject Type="Embed" ProgID="Excel.Sheet.8" ShapeID="_x0000_i1025" DrawAspect="Content" ObjectID="_1561562258" r:id="rId9"/>
        </w:object>
      </w:r>
    </w:p>
    <w:p w:rsidR="00172BC6" w:rsidRDefault="00172BC6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color w:val="0000FF"/>
          <w:spacing w:val="12"/>
          <w:sz w:val="27"/>
          <w:szCs w:val="27"/>
          <w:lang w:eastAsia="zh-TW"/>
        </w:rPr>
        <w:lastRenderedPageBreak/>
        <w:t>二、美國尉官最大服役年限約33歲、校官約42至52歲之間，</w:t>
      </w:r>
      <w:r>
        <w:rPr>
          <w:rFonts w:ascii="標楷體" w:eastAsia="標楷體" w:hAnsi="標楷體" w:hint="eastAsia"/>
          <w:b/>
          <w:bCs/>
          <w:color w:val="0000FF"/>
          <w:spacing w:val="12"/>
          <w:sz w:val="27"/>
          <w:szCs w:val="27"/>
          <w:lang w:eastAsia="zh-TW"/>
        </w:rPr>
        <w:t>服役滿20年可領退伍前薪資50％退休金，滿40年以上者可領全額</w:t>
      </w:r>
      <w:r>
        <w:rPr>
          <w:rFonts w:ascii="標楷體" w:eastAsia="標楷體" w:hAnsi="標楷體" w:hint="eastAsia"/>
          <w:b/>
          <w:color w:val="444444"/>
          <w:spacing w:val="12"/>
          <w:sz w:val="27"/>
          <w:szCs w:val="27"/>
          <w:lang w:eastAsia="zh-TW"/>
        </w:rPr>
        <w:t>。</w:t>
      </w:r>
    </w:p>
    <w:p w:rsidR="00172BC6" w:rsidRDefault="00172BC6" w:rsidP="00172BC6">
      <w:pPr>
        <w:pStyle w:val="a3"/>
        <w:rPr>
          <w:rFonts w:ascii="標楷體" w:eastAsia="標楷體" w:hAnsi="標楷體"/>
          <w:b/>
          <w:noProof/>
          <w:color w:val="444444"/>
          <w:spacing w:val="12"/>
          <w:sz w:val="27"/>
          <w:szCs w:val="27"/>
          <w:lang w:eastAsia="zh-TW"/>
        </w:rPr>
      </w:pPr>
    </w:p>
    <w:p w:rsidR="00172BC6" w:rsidRDefault="00172BC6" w:rsidP="00172BC6">
      <w:pPr>
        <w:pStyle w:val="a3"/>
        <w:rPr>
          <w:rFonts w:ascii="標楷體" w:eastAsia="標楷體" w:hAnsi="標楷體"/>
          <w:b/>
          <w:spacing w:val="12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國軍：</w:t>
      </w:r>
    </w:p>
    <w:p w:rsidR="00172BC6" w:rsidRDefault="00172BC6" w:rsidP="00172BC6">
      <w:pPr>
        <w:pStyle w:val="a3"/>
        <w:rPr>
          <w:rFonts w:asciiTheme="minorEastAsia" w:hAnsiTheme="minorEastAsia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月退俸所得替代率：以服役20年為例，上士12級所得替代率38.5%、少校12級所得替代率44.3%。</w:t>
      </w:r>
      <w:r w:rsidR="00A81BCE"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【</w:t>
      </w:r>
      <w:r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請參見</w:t>
      </w:r>
      <w:r w:rsidR="0001506D"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附件二</w:t>
      </w:r>
      <w:r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：</w:t>
      </w:r>
      <w:hyperlink r:id="rId10" w:tgtFrame="_blank" w:history="1">
        <w:r w:rsidRPr="00A81BCE">
          <w:rPr>
            <w:rStyle w:val="a4"/>
            <w:rFonts w:ascii="標楷體" w:eastAsia="標楷體" w:hAnsi="標楷體" w:hint="eastAsia"/>
            <w:b/>
            <w:spacing w:val="12"/>
            <w:sz w:val="27"/>
            <w:szCs w:val="27"/>
            <w:u w:val="none"/>
            <w:lang w:eastAsia="zh-TW"/>
          </w:rPr>
          <w:t>軍職人員月退俸及所得替代率試算</w:t>
        </w:r>
      </w:hyperlink>
      <w:r w:rsidR="00A81BCE" w:rsidRPr="00A81BCE">
        <w:rPr>
          <w:rFonts w:asciiTheme="minorEastAsia" w:hAnsiTheme="minorEastAsia" w:hint="eastAsia"/>
          <w:sz w:val="27"/>
          <w:szCs w:val="27"/>
          <w:lang w:eastAsia="zh-TW"/>
        </w:rPr>
        <w:t>】</w:t>
      </w:r>
    </w:p>
    <w:p w:rsidR="0095208F" w:rsidRDefault="0095208F" w:rsidP="00172BC6">
      <w:pPr>
        <w:pStyle w:val="a3"/>
        <w:rPr>
          <w:rFonts w:ascii="標楷體" w:eastAsia="標楷體" w:hAnsi="標楷體"/>
          <w:b/>
          <w:spacing w:val="12"/>
          <w:sz w:val="27"/>
          <w:szCs w:val="27"/>
          <w:lang w:eastAsia="zh-TW"/>
        </w:rPr>
      </w:pPr>
    </w:p>
    <w:p w:rsidR="0001506D" w:rsidRPr="00A81BCE" w:rsidRDefault="00BC211D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附件二：</w:t>
      </w:r>
    </w:p>
    <w:p w:rsidR="00172BC6" w:rsidRDefault="0001506D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  <w:r>
        <w:rPr>
          <w:rFonts w:ascii="標楷體" w:eastAsia="標楷體" w:hAnsi="標楷體"/>
          <w:b/>
          <w:noProof/>
          <w:color w:val="444444"/>
          <w:spacing w:val="12"/>
          <w:sz w:val="27"/>
          <w:szCs w:val="27"/>
          <w:lang w:eastAsia="zh-TW"/>
        </w:rPr>
        <w:drawing>
          <wp:inline distT="0" distB="0" distL="0" distR="0">
            <wp:extent cx="6191250" cy="3549650"/>
            <wp:effectExtent l="19050" t="0" r="0" b="0"/>
            <wp:docPr id="15" name="圖片 15" descr="C:\Users\Scorpio\Desktop\軍職月退薪俸試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corpio\Desktop\軍職月退薪俸試算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4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06D" w:rsidRDefault="0001506D" w:rsidP="00172BC6">
      <w:pPr>
        <w:pStyle w:val="a3"/>
        <w:rPr>
          <w:rFonts w:ascii="標楷體" w:eastAsia="標楷體" w:hAnsi="標楷體"/>
          <w:b/>
          <w:color w:val="0000FF"/>
          <w:spacing w:val="12"/>
          <w:sz w:val="27"/>
          <w:szCs w:val="27"/>
          <w:lang w:eastAsia="zh-TW"/>
        </w:rPr>
      </w:pPr>
    </w:p>
    <w:p w:rsidR="00172BC6" w:rsidRDefault="00172BC6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  <w:r w:rsidRPr="00A81BCE">
        <w:rPr>
          <w:rFonts w:ascii="標楷體" w:eastAsia="標楷體" w:hAnsi="標楷體" w:hint="eastAsia"/>
          <w:b/>
          <w:color w:val="0000FF"/>
          <w:spacing w:val="12"/>
          <w:sz w:val="27"/>
          <w:szCs w:val="27"/>
          <w:lang w:eastAsia="zh-TW"/>
        </w:rPr>
        <w:t>三、</w:t>
      </w:r>
      <w:r>
        <w:rPr>
          <w:rFonts w:ascii="標楷體" w:eastAsia="標楷體" w:hAnsi="標楷體" w:hint="eastAsia"/>
          <w:b/>
          <w:color w:val="0000FF"/>
          <w:spacing w:val="12"/>
          <w:sz w:val="27"/>
          <w:szCs w:val="27"/>
          <w:lang w:eastAsia="zh-TW"/>
        </w:rPr>
        <w:t>美國國家法典規定，明令保護退伍軍人就業權利，不僅民間企業遵守，政府單位更應為民間企業表率，且薪水與福利均與同職等人員相同，亦</w:t>
      </w:r>
      <w:r>
        <w:rPr>
          <w:rFonts w:ascii="標楷體" w:eastAsia="標楷體" w:hAnsi="標楷體" w:hint="eastAsia"/>
          <w:b/>
          <w:bCs/>
          <w:color w:val="0000FF"/>
          <w:spacing w:val="12"/>
          <w:sz w:val="27"/>
          <w:szCs w:val="27"/>
          <w:lang w:eastAsia="zh-TW"/>
        </w:rPr>
        <w:t>無須停支其月退休俸</w:t>
      </w:r>
      <w:r>
        <w:rPr>
          <w:rFonts w:ascii="標楷體" w:eastAsia="標楷體" w:hAnsi="標楷體" w:hint="eastAsia"/>
          <w:b/>
          <w:color w:val="0000FF"/>
          <w:spacing w:val="12"/>
          <w:sz w:val="27"/>
          <w:szCs w:val="27"/>
          <w:lang w:eastAsia="zh-TW"/>
        </w:rPr>
        <w:t>。依據2010年9月17日華盛頓郵報報導指出，歐巴馬政府鼓勵政府機關僱用退伍軍人，2010年上半年美國公職人員具退伍軍人背景者達30.2％，較2009年的26.8％，多僱用了約2,600位退伍軍人。</w:t>
      </w:r>
    </w:p>
    <w:p w:rsidR="00172BC6" w:rsidRDefault="00172BC6" w:rsidP="00172BC6">
      <w:pPr>
        <w:pStyle w:val="a3"/>
        <w:rPr>
          <w:rFonts w:ascii="標楷體" w:eastAsia="標楷體" w:hAnsi="標楷體"/>
          <w:b/>
          <w:noProof/>
          <w:color w:val="444444"/>
          <w:spacing w:val="12"/>
          <w:sz w:val="27"/>
          <w:szCs w:val="27"/>
          <w:lang w:eastAsia="zh-TW"/>
        </w:rPr>
      </w:pPr>
    </w:p>
    <w:p w:rsidR="00172BC6" w:rsidRDefault="00172BC6" w:rsidP="00172BC6">
      <w:pPr>
        <w:pStyle w:val="a3"/>
        <w:rPr>
          <w:rFonts w:ascii="標楷體" w:eastAsia="標楷體" w:hAnsi="標楷體"/>
          <w:b/>
          <w:spacing w:val="12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國軍：</w:t>
      </w:r>
    </w:p>
    <w:p w:rsidR="00172BC6" w:rsidRDefault="00172BC6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bCs/>
          <w:spacing w:val="12"/>
          <w:sz w:val="27"/>
          <w:szCs w:val="27"/>
          <w:lang w:eastAsia="zh-TW"/>
        </w:rPr>
        <w:t>支領退休俸再任公職者，符合停支退休俸標準時，需停支退休俸</w:t>
      </w:r>
    </w:p>
    <w:p w:rsidR="00172BC6" w:rsidRPr="00A81BCE" w:rsidRDefault="00172BC6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支領退休俸軍官士官就任由公庫支給薪俸、待遇或公費之職務，薪俸合計超過32160元，需停支退休俸。(請參見：</w:t>
      </w:r>
      <w:hyperlink r:id="rId12" w:tgtFrame="_blank" w:history="1">
        <w:r w:rsidRPr="00A81BCE">
          <w:rPr>
            <w:rStyle w:val="a4"/>
            <w:rFonts w:ascii="標楷體" w:eastAsia="標楷體" w:hAnsi="標楷體" w:hint="eastAsia"/>
            <w:b/>
            <w:spacing w:val="12"/>
            <w:sz w:val="27"/>
            <w:szCs w:val="27"/>
            <w:u w:val="none"/>
            <w:lang w:eastAsia="zh-TW"/>
          </w:rPr>
          <w:t>支領退休俸軍官士官就任公職停發退休俸辦法之相關解釋</w:t>
        </w:r>
      </w:hyperlink>
      <w:r w:rsidRPr="00A81BCE">
        <w:rPr>
          <w:rFonts w:ascii="標楷體" w:eastAsia="標楷體" w:hAnsi="標楷體" w:hint="eastAsia"/>
          <w:b/>
          <w:color w:val="444444"/>
          <w:spacing w:val="12"/>
          <w:sz w:val="27"/>
          <w:szCs w:val="27"/>
          <w:lang w:eastAsia="zh-TW"/>
        </w:rPr>
        <w:t>)</w:t>
      </w:r>
    </w:p>
    <w:p w:rsidR="00172BC6" w:rsidRDefault="00172BC6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</w:p>
    <w:p w:rsidR="00172BC6" w:rsidRDefault="003D67B3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  <w:hyperlink r:id="rId13" w:history="1">
        <w:r w:rsidR="00172BC6" w:rsidRPr="00A81BCE">
          <w:rPr>
            <w:rStyle w:val="a4"/>
            <w:rFonts w:ascii="標楷體" w:eastAsia="標楷體" w:hAnsi="標楷體" w:hint="eastAsia"/>
            <w:b/>
            <w:spacing w:val="12"/>
            <w:sz w:val="27"/>
            <w:szCs w:val="27"/>
            <w:u w:val="none"/>
            <w:lang w:eastAsia="zh-TW"/>
          </w:rPr>
          <w:t>退伍軍職人員再任公職應停止領受月退休俸之規定為何？</w:t>
        </w:r>
      </w:hyperlink>
      <w:r w:rsidR="00172BC6"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退撫基金業務作業問與答</w:t>
      </w:r>
    </w:p>
    <w:p w:rsidR="00172BC6" w:rsidRPr="00A81BCE" w:rsidRDefault="003D67B3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  <w:hyperlink r:id="rId14" w:history="1">
        <w:r w:rsidR="00172BC6" w:rsidRPr="00A81BCE">
          <w:rPr>
            <w:rStyle w:val="a4"/>
            <w:rFonts w:ascii="標楷體" w:eastAsia="標楷體" w:hAnsi="標楷體" w:hint="eastAsia"/>
            <w:b/>
            <w:spacing w:val="12"/>
            <w:sz w:val="27"/>
            <w:szCs w:val="27"/>
            <w:u w:val="none"/>
            <w:shd w:val="clear" w:color="auto" w:fill="FFFFFF"/>
            <w:lang w:eastAsia="zh-TW"/>
          </w:rPr>
          <w:t>支領退休俸軍官士官就任公職停發退休俸辦法</w:t>
        </w:r>
      </w:hyperlink>
    </w:p>
    <w:p w:rsidR="00172BC6" w:rsidRDefault="00172BC6" w:rsidP="00172BC6">
      <w:pPr>
        <w:pStyle w:val="a3"/>
        <w:rPr>
          <w:rFonts w:ascii="標楷體" w:eastAsia="標楷體" w:hAnsi="標楷體"/>
          <w:b/>
          <w:color w:val="0000FF"/>
          <w:spacing w:val="12"/>
          <w:sz w:val="27"/>
          <w:szCs w:val="27"/>
          <w:lang w:eastAsia="zh-TW"/>
        </w:rPr>
      </w:pPr>
    </w:p>
    <w:p w:rsidR="00172BC6" w:rsidRDefault="00172BC6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color w:val="0000FF"/>
          <w:spacing w:val="12"/>
          <w:sz w:val="27"/>
          <w:szCs w:val="27"/>
          <w:lang w:eastAsia="zh-TW"/>
        </w:rPr>
        <w:t>四、美國退伍軍人之權益有法令明文規範，並依政府政策落實執行；反觀我國雖有法律規範及憲法保障，</w:t>
      </w:r>
      <w:r>
        <w:rPr>
          <w:rFonts w:ascii="標楷體" w:eastAsia="標楷體" w:hAnsi="標楷體" w:hint="eastAsia"/>
          <w:b/>
          <w:bCs/>
          <w:color w:val="0000FF"/>
          <w:spacing w:val="12"/>
          <w:sz w:val="27"/>
          <w:szCs w:val="27"/>
          <w:lang w:eastAsia="zh-TW"/>
        </w:rPr>
        <w:t>卻未落實並據以執行</w:t>
      </w:r>
      <w:r>
        <w:rPr>
          <w:rFonts w:ascii="標楷體" w:eastAsia="標楷體" w:hAnsi="標楷體" w:hint="eastAsia"/>
          <w:b/>
          <w:color w:val="0000FF"/>
          <w:spacing w:val="12"/>
          <w:sz w:val="27"/>
          <w:szCs w:val="27"/>
          <w:lang w:eastAsia="zh-TW"/>
        </w:rPr>
        <w:t>，致軍職人員退後轉業多有限制，政府亦難以留用人才。</w:t>
      </w:r>
    </w:p>
    <w:p w:rsidR="00172BC6" w:rsidRDefault="00172BC6" w:rsidP="00172BC6">
      <w:pPr>
        <w:pStyle w:val="a3"/>
        <w:rPr>
          <w:rFonts w:ascii="標楷體" w:eastAsia="標楷體" w:hAnsi="標楷體"/>
          <w:b/>
          <w:color w:val="222222"/>
          <w:spacing w:val="12"/>
          <w:sz w:val="27"/>
          <w:szCs w:val="27"/>
          <w:lang w:eastAsia="zh-TW"/>
        </w:rPr>
      </w:pPr>
      <w:bookmarkStart w:id="0" w:name="表二"/>
    </w:p>
    <w:p w:rsidR="00172BC6" w:rsidRDefault="00172BC6" w:rsidP="00172BC6">
      <w:pPr>
        <w:pStyle w:val="a3"/>
        <w:rPr>
          <w:rFonts w:ascii="標楷體" w:eastAsia="標楷體" w:hAnsi="標楷體"/>
          <w:b/>
          <w:spacing w:val="12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pacing w:val="12"/>
          <w:sz w:val="27"/>
          <w:szCs w:val="27"/>
          <w:lang w:eastAsia="zh-TW"/>
        </w:rPr>
        <w:t>國軍：</w:t>
      </w:r>
    </w:p>
    <w:p w:rsidR="00172BC6" w:rsidRDefault="004A3ADC" w:rsidP="00172BC6">
      <w:pPr>
        <w:pStyle w:val="a3"/>
        <w:rPr>
          <w:rFonts w:ascii="標楷體" w:eastAsia="標楷體" w:hAnsi="標楷體"/>
          <w:b/>
          <w:color w:val="222222"/>
          <w:spacing w:val="12"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color w:val="222222"/>
          <w:spacing w:val="12"/>
          <w:sz w:val="27"/>
          <w:szCs w:val="27"/>
          <w:lang w:eastAsia="zh-TW"/>
        </w:rPr>
        <w:t>附件三</w:t>
      </w:r>
      <w:r w:rsidR="00172BC6">
        <w:rPr>
          <w:rFonts w:ascii="標楷體" w:eastAsia="標楷體" w:hAnsi="標楷體" w:hint="eastAsia"/>
          <w:b/>
          <w:color w:val="222222"/>
          <w:spacing w:val="12"/>
          <w:sz w:val="27"/>
          <w:szCs w:val="27"/>
          <w:lang w:eastAsia="zh-TW"/>
        </w:rPr>
        <w:t>：退輔會榮民統計月報(民105年1月)</w:t>
      </w:r>
      <w:bookmarkEnd w:id="0"/>
    </w:p>
    <w:p w:rsidR="00172BC6" w:rsidRDefault="00A81BCE" w:rsidP="00172BC6">
      <w:pPr>
        <w:pStyle w:val="a3"/>
        <w:rPr>
          <w:rFonts w:ascii="標楷體" w:eastAsia="標楷體" w:hAnsi="標楷體"/>
          <w:b/>
          <w:color w:val="444444"/>
          <w:spacing w:val="12"/>
          <w:sz w:val="27"/>
          <w:szCs w:val="27"/>
          <w:lang w:eastAsia="zh-TW"/>
        </w:rPr>
      </w:pPr>
      <w:r>
        <w:rPr>
          <w:rFonts w:ascii="標楷體" w:eastAsia="標楷體" w:hAnsi="標楷體"/>
          <w:b/>
          <w:noProof/>
          <w:color w:val="444444"/>
          <w:spacing w:val="12"/>
          <w:sz w:val="27"/>
          <w:szCs w:val="27"/>
          <w:lang w:eastAsia="zh-TW"/>
        </w:rPr>
        <w:drawing>
          <wp:inline distT="0" distB="0" distL="0" distR="0">
            <wp:extent cx="6178550" cy="5905500"/>
            <wp:effectExtent l="19050" t="0" r="0" b="0"/>
            <wp:docPr id="1" name="圖片 1" descr="C:\Users\Scorpio\Desktop\1471193275-1899224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rpio\Desktop\1471193275-189922422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71A" w:rsidRDefault="005F4DA3">
      <w:pPr>
        <w:rPr>
          <w:rFonts w:ascii="標楷體" w:eastAsia="標楷體" w:hAnsi="標楷體" w:cs="Arial"/>
          <w:b/>
          <w:sz w:val="27"/>
          <w:szCs w:val="27"/>
          <w:lang w:eastAsia="zh-TW"/>
        </w:rPr>
      </w:pPr>
      <w:r w:rsidRPr="00D37BED">
        <w:rPr>
          <w:rFonts w:ascii="標楷體" w:eastAsia="標楷體" w:hAnsi="標楷體" w:hint="eastAsia"/>
          <w:b/>
          <w:sz w:val="27"/>
          <w:szCs w:val="27"/>
          <w:lang w:eastAsia="zh-TW"/>
        </w:rPr>
        <w:t>八百壯士基於維護退休袍澤權益立場，</w:t>
      </w:r>
      <w:r w:rsidR="00D37BED">
        <w:rPr>
          <w:rFonts w:ascii="標楷體" w:eastAsia="標楷體" w:hAnsi="標楷體" w:hint="eastAsia"/>
          <w:b/>
          <w:sz w:val="27"/>
          <w:szCs w:val="27"/>
          <w:lang w:eastAsia="zh-TW"/>
        </w:rPr>
        <w:t>愷切</w:t>
      </w:r>
      <w:r w:rsidRPr="00D37BED">
        <w:rPr>
          <w:rFonts w:ascii="標楷體" w:eastAsia="標楷體" w:hAnsi="標楷體" w:hint="eastAsia"/>
          <w:b/>
          <w:sz w:val="27"/>
          <w:szCs w:val="27"/>
          <w:lang w:eastAsia="zh-TW"/>
        </w:rPr>
        <w:t>希望</w:t>
      </w:r>
      <w:r w:rsidR="00D37BED">
        <w:rPr>
          <w:rFonts w:ascii="標楷體" w:eastAsia="標楷體" w:hAnsi="標楷體" w:hint="eastAsia"/>
          <w:b/>
          <w:sz w:val="27"/>
          <w:szCs w:val="27"/>
          <w:lang w:eastAsia="zh-TW"/>
        </w:rPr>
        <w:t>執政黨貫徹</w:t>
      </w:r>
      <w:r w:rsidR="00D37BED" w:rsidRPr="00D37BED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『</w:t>
      </w:r>
      <w:r w:rsidR="00D37BED" w:rsidRPr="00D37BED">
        <w:rPr>
          <w:rFonts w:ascii="標楷體" w:eastAsia="標楷體" w:hAnsi="標楷體" w:cs="Arial"/>
          <w:b/>
          <w:sz w:val="27"/>
          <w:szCs w:val="27"/>
          <w:lang w:eastAsia="zh-TW"/>
        </w:rPr>
        <w:t>促進招募、穩定現役、安撫退員</w:t>
      </w:r>
      <w:r w:rsidR="00D37BED" w:rsidRPr="00D37BED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』</w:t>
      </w:r>
      <w:r w:rsidR="00D37BED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普遍共識，並落實</w:t>
      </w:r>
      <w:r w:rsidRPr="00D37BED">
        <w:rPr>
          <w:rFonts w:ascii="標楷體" w:eastAsia="標楷體" w:hAnsi="標楷體" w:hint="eastAsia"/>
          <w:b/>
          <w:sz w:val="27"/>
          <w:szCs w:val="27"/>
          <w:lang w:eastAsia="zh-TW"/>
        </w:rPr>
        <w:t>政策宣示</w:t>
      </w:r>
      <w:r w:rsidR="00D37BED">
        <w:rPr>
          <w:rFonts w:ascii="標楷體" w:eastAsia="標楷體" w:hAnsi="標楷體" w:hint="eastAsia"/>
          <w:b/>
          <w:sz w:val="27"/>
          <w:szCs w:val="27"/>
          <w:lang w:eastAsia="zh-TW"/>
        </w:rPr>
        <w:t>與執</w:t>
      </w:r>
      <w:r w:rsidRPr="00D37BED">
        <w:rPr>
          <w:rFonts w:ascii="標楷體" w:eastAsia="標楷體" w:hAnsi="標楷體" w:hint="eastAsia"/>
          <w:b/>
          <w:sz w:val="27"/>
          <w:szCs w:val="27"/>
          <w:lang w:eastAsia="zh-TW"/>
        </w:rPr>
        <w:t>行</w:t>
      </w:r>
      <w:r w:rsidR="00D37BED">
        <w:rPr>
          <w:rFonts w:ascii="標楷體" w:eastAsia="標楷體" w:hAnsi="標楷體" w:hint="eastAsia"/>
          <w:b/>
          <w:sz w:val="27"/>
          <w:szCs w:val="27"/>
          <w:lang w:eastAsia="zh-TW"/>
        </w:rPr>
        <w:t>，</w:t>
      </w:r>
      <w:r w:rsidR="00D37BED" w:rsidRPr="00A81BCE">
        <w:rPr>
          <w:rFonts w:ascii="標楷體" w:eastAsia="標楷體" w:hAnsi="標楷體" w:cs="Arial"/>
          <w:b/>
          <w:sz w:val="27"/>
          <w:szCs w:val="27"/>
          <w:lang w:eastAsia="zh-TW"/>
        </w:rPr>
        <w:t>參考美軍退撫制度，來設計全新的軍人退伍俸給制度</w:t>
      </w:r>
      <w:r w:rsidR="00D37BED">
        <w:rPr>
          <w:rFonts w:ascii="標楷體" w:eastAsia="標楷體" w:hAnsi="標楷體" w:cs="Arial"/>
          <w:b/>
          <w:sz w:val="27"/>
          <w:szCs w:val="27"/>
          <w:lang w:eastAsia="zh-TW"/>
        </w:rPr>
        <w:t>，</w:t>
      </w:r>
      <w:r w:rsidR="004A3ADC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期</w:t>
      </w:r>
      <w:r w:rsidR="00D37BED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重拾</w:t>
      </w:r>
      <w:r w:rsidR="004A3ADC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對政府</w:t>
      </w:r>
      <w:r w:rsidR="00D37BED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軍人信心與信任。</w:t>
      </w:r>
    </w:p>
    <w:p w:rsidR="00D37BED" w:rsidRDefault="00D37BED">
      <w:pPr>
        <w:rPr>
          <w:rFonts w:ascii="標楷體" w:eastAsia="標楷體" w:hAnsi="標楷體" w:cs="Arial"/>
          <w:b/>
          <w:sz w:val="27"/>
          <w:szCs w:val="27"/>
          <w:lang w:eastAsia="zh-TW"/>
        </w:rPr>
      </w:pPr>
    </w:p>
    <w:p w:rsidR="00D37BED" w:rsidRPr="00D37BED" w:rsidRDefault="00D37BED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八百壯士指揮官   吳其樑  106.7.1</w:t>
      </w:r>
      <w:r w:rsidR="00EB56CE">
        <w:rPr>
          <w:rFonts w:ascii="標楷體" w:eastAsia="標楷體" w:hAnsi="標楷體" w:cs="Arial" w:hint="eastAsia"/>
          <w:b/>
          <w:sz w:val="27"/>
          <w:szCs w:val="27"/>
          <w:lang w:eastAsia="zh-TW"/>
        </w:rPr>
        <w:t>4</w:t>
      </w:r>
    </w:p>
    <w:sectPr w:rsidR="00D37BED" w:rsidRPr="00D37BED" w:rsidSect="009520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C8C" w:rsidRDefault="00905C8C" w:rsidP="00C070E0">
      <w:r>
        <w:separator/>
      </w:r>
    </w:p>
  </w:endnote>
  <w:endnote w:type="continuationSeparator" w:id="1">
    <w:p w:rsidR="00905C8C" w:rsidRDefault="00905C8C" w:rsidP="00C0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C8C" w:rsidRDefault="00905C8C" w:rsidP="00C070E0">
      <w:r>
        <w:separator/>
      </w:r>
    </w:p>
  </w:footnote>
  <w:footnote w:type="continuationSeparator" w:id="1">
    <w:p w:rsidR="00905C8C" w:rsidRDefault="00905C8C" w:rsidP="00C07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BC6"/>
    <w:rsid w:val="0001506D"/>
    <w:rsid w:val="001244EB"/>
    <w:rsid w:val="00172BC6"/>
    <w:rsid w:val="003D67B3"/>
    <w:rsid w:val="004601A7"/>
    <w:rsid w:val="004A3ADC"/>
    <w:rsid w:val="005023CB"/>
    <w:rsid w:val="005F4DA3"/>
    <w:rsid w:val="006C371A"/>
    <w:rsid w:val="00721BCB"/>
    <w:rsid w:val="008F1DB0"/>
    <w:rsid w:val="008F5ABD"/>
    <w:rsid w:val="00905C8C"/>
    <w:rsid w:val="0095208F"/>
    <w:rsid w:val="00A81BCE"/>
    <w:rsid w:val="00A82B31"/>
    <w:rsid w:val="00B87DC6"/>
    <w:rsid w:val="00BC211D"/>
    <w:rsid w:val="00C070E0"/>
    <w:rsid w:val="00C47075"/>
    <w:rsid w:val="00C97B54"/>
    <w:rsid w:val="00D37BED"/>
    <w:rsid w:val="00D425DE"/>
    <w:rsid w:val="00D74693"/>
    <w:rsid w:val="00DA2257"/>
    <w:rsid w:val="00EB56CE"/>
    <w:rsid w:val="00EC7EA5"/>
    <w:rsid w:val="00F1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469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No Spacing"/>
    <w:uiPriority w:val="1"/>
    <w:qFormat/>
    <w:rsid w:val="00172BC6"/>
    <w:pPr>
      <w:widowControl w:val="0"/>
    </w:pPr>
    <w:rPr>
      <w:kern w:val="0"/>
      <w:sz w:val="22"/>
      <w:lang w:eastAsia="en-US"/>
    </w:rPr>
  </w:style>
  <w:style w:type="character" w:styleId="a4">
    <w:name w:val="Hyperlink"/>
    <w:basedOn w:val="a0"/>
    <w:uiPriority w:val="99"/>
    <w:semiHidden/>
    <w:unhideWhenUsed/>
    <w:rsid w:val="00172B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1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81BC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07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070E0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07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070E0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fund.gov.tw/ct.asp?xItem=2341&amp;ctNode=399&amp;mp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nd.gov.tw/dl.asp?icuitem=3505&amp;fileName=162319235871.xls" TargetMode="External"/><Relationship Id="rId12" Type="http://schemas.openxmlformats.org/officeDocument/2006/relationships/hyperlink" Target="http://otheryen.pixnet.net/blog/post/44082253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theryen.pixnet.net/blog/post/450415769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otheryen.pixnet.net/blog/post/450627635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1.xls"/><Relationship Id="rId14" Type="http://schemas.openxmlformats.org/officeDocument/2006/relationships/hyperlink" Target="http://law.moj.gov.tw/LawClass/LawContent.aspx?PCODE=F01100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yp y</cp:lastModifiedBy>
  <cp:revision>11</cp:revision>
  <dcterms:created xsi:type="dcterms:W3CDTF">2017-07-14T01:21:00Z</dcterms:created>
  <dcterms:modified xsi:type="dcterms:W3CDTF">2017-07-14T10:31:00Z</dcterms:modified>
</cp:coreProperties>
</file>